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5D" w:rsidRDefault="0060565D"/>
    <w:p w:rsidR="0060565D" w:rsidRDefault="0060565D">
      <w:bookmarkStart w:id="0" w:name="_gjdgxs" w:colFirst="0" w:colLast="0"/>
      <w:bookmarkEnd w:id="0"/>
    </w:p>
    <w:tbl>
      <w:tblPr>
        <w:tblStyle w:val="a"/>
        <w:tblW w:w="1005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815"/>
      </w:tblGrid>
      <w:tr w:rsidR="0060565D">
        <w:trPr>
          <w:trHeight w:val="1120"/>
        </w:trPr>
        <w:tc>
          <w:tcPr>
            <w:tcW w:w="5235" w:type="dxa"/>
            <w:tcBorders>
              <w:top w:val="single" w:sz="4" w:space="0" w:color="000000"/>
              <w:left w:val="single" w:sz="4" w:space="0" w:color="000000"/>
              <w:bottom w:val="single" w:sz="4" w:space="0" w:color="000000"/>
              <w:right w:val="nil"/>
            </w:tcBorders>
            <w:shd w:val="clear" w:color="auto" w:fill="FBD4B4"/>
          </w:tcPr>
          <w:p w:rsidR="0060565D" w:rsidRPr="00AC5FD5" w:rsidRDefault="00733537">
            <w:pPr>
              <w:spacing w:after="0" w:line="240" w:lineRule="auto"/>
              <w:rPr>
                <w:b/>
                <w:lang w:val="es-ES_tradnl"/>
              </w:rPr>
            </w:pPr>
            <w:r w:rsidRPr="00AC5FD5">
              <w:rPr>
                <w:b/>
                <w:u w:val="single"/>
                <w:lang w:val="es-ES_tradnl"/>
              </w:rPr>
              <w:t>Nombre de la Buena práctica</w:t>
            </w:r>
            <w:r w:rsidR="00D845B1" w:rsidRPr="00AC5FD5">
              <w:rPr>
                <w:b/>
                <w:lang w:val="es-ES_tradnl"/>
              </w:rPr>
              <w:t xml:space="preserve">: </w:t>
            </w:r>
          </w:p>
          <w:p w:rsidR="0060565D" w:rsidRPr="00AC5FD5" w:rsidRDefault="00733537">
            <w:pPr>
              <w:spacing w:after="0" w:line="240" w:lineRule="auto"/>
              <w:rPr>
                <w:b/>
                <w:lang w:val="es-ES_tradnl"/>
              </w:rPr>
            </w:pPr>
            <w:r w:rsidRPr="00AC5FD5">
              <w:rPr>
                <w:b/>
                <w:lang w:val="es-ES_tradnl"/>
              </w:rPr>
              <w:t>Reutilización de ordenadores</w:t>
            </w:r>
          </w:p>
        </w:tc>
        <w:tc>
          <w:tcPr>
            <w:tcW w:w="4815" w:type="dxa"/>
            <w:tcBorders>
              <w:top w:val="single" w:sz="4" w:space="0" w:color="000000"/>
              <w:left w:val="nil"/>
              <w:bottom w:val="single" w:sz="4" w:space="0" w:color="000000"/>
              <w:right w:val="single" w:sz="4" w:space="0" w:color="000000"/>
            </w:tcBorders>
          </w:tcPr>
          <w:p w:rsidR="0060565D" w:rsidRPr="00AC5FD5" w:rsidRDefault="00D845B1">
            <w:pPr>
              <w:spacing w:after="0" w:line="240" w:lineRule="auto"/>
              <w:rPr>
                <w:b/>
                <w:lang w:val="es-ES_tradnl"/>
              </w:rPr>
            </w:pPr>
            <w:r w:rsidRPr="00AC5FD5">
              <w:rPr>
                <w:b/>
                <w:u w:val="single"/>
                <w:lang w:val="es-ES_tradnl"/>
              </w:rPr>
              <w:t>Contact</w:t>
            </w:r>
            <w:r w:rsidR="00733537" w:rsidRPr="00AC5FD5">
              <w:rPr>
                <w:b/>
                <w:u w:val="single"/>
                <w:lang w:val="es-ES_tradnl"/>
              </w:rPr>
              <w:t>o</w:t>
            </w:r>
            <w:r w:rsidRPr="00AC5FD5">
              <w:rPr>
                <w:b/>
                <w:lang w:val="es-ES_tradnl"/>
              </w:rPr>
              <w:t xml:space="preserve">: </w:t>
            </w:r>
          </w:p>
          <w:p w:rsidR="0060565D" w:rsidRPr="00AC5FD5" w:rsidRDefault="00733537">
            <w:pPr>
              <w:spacing w:after="0" w:line="240" w:lineRule="auto"/>
              <w:rPr>
                <w:b/>
                <w:lang w:val="es-ES_tradnl"/>
              </w:rPr>
            </w:pPr>
            <w:r w:rsidRPr="00AC5FD5">
              <w:rPr>
                <w:b/>
                <w:lang w:val="es-ES_tradnl"/>
              </w:rPr>
              <w:t>Nombre</w:t>
            </w:r>
            <w:r w:rsidR="00D845B1" w:rsidRPr="00AC5FD5">
              <w:rPr>
                <w:b/>
                <w:lang w:val="es-ES_tradnl"/>
              </w:rPr>
              <w:t xml:space="preserve">: </w:t>
            </w:r>
            <w:proofErr w:type="spellStart"/>
            <w:r w:rsidR="00D845B1" w:rsidRPr="00AC5FD5">
              <w:rPr>
                <w:b/>
                <w:lang w:val="es-ES_tradnl"/>
              </w:rPr>
              <w:t>Bytdator</w:t>
            </w:r>
            <w:proofErr w:type="spellEnd"/>
          </w:p>
          <w:p w:rsidR="0060565D" w:rsidRPr="00AC5FD5" w:rsidRDefault="00733537">
            <w:pPr>
              <w:spacing w:after="0" w:line="240" w:lineRule="auto"/>
              <w:rPr>
                <w:lang w:val="es-ES_tradnl"/>
              </w:rPr>
            </w:pPr>
            <w:r w:rsidRPr="00AC5FD5">
              <w:rPr>
                <w:b/>
                <w:lang w:val="es-ES_tradnl"/>
              </w:rPr>
              <w:t>Dirección</w:t>
            </w:r>
            <w:r w:rsidR="00D845B1" w:rsidRPr="00AC5FD5">
              <w:rPr>
                <w:b/>
                <w:lang w:val="es-ES_tradnl"/>
              </w:rPr>
              <w:t xml:space="preserve">: </w:t>
            </w:r>
            <w:proofErr w:type="spellStart"/>
            <w:r w:rsidR="00D845B1" w:rsidRPr="00AC5FD5">
              <w:rPr>
                <w:b/>
                <w:lang w:val="es-ES_tradnl"/>
              </w:rPr>
              <w:t>Stockholm</w:t>
            </w:r>
            <w:proofErr w:type="spellEnd"/>
            <w:r w:rsidR="00D845B1" w:rsidRPr="00AC5FD5">
              <w:rPr>
                <w:b/>
                <w:lang w:val="es-ES_tradnl"/>
              </w:rPr>
              <w:t xml:space="preserve">, </w:t>
            </w:r>
            <w:proofErr w:type="spellStart"/>
            <w:r w:rsidR="00D845B1" w:rsidRPr="00AC5FD5">
              <w:rPr>
                <w:b/>
                <w:lang w:val="es-ES_tradnl"/>
              </w:rPr>
              <w:t>Sweden</w:t>
            </w:r>
            <w:proofErr w:type="spellEnd"/>
          </w:p>
          <w:p w:rsidR="0060565D" w:rsidRPr="00AC5FD5" w:rsidRDefault="00D845B1">
            <w:pPr>
              <w:spacing w:after="0" w:line="240" w:lineRule="auto"/>
              <w:rPr>
                <w:b/>
                <w:lang w:val="es-ES_tradnl"/>
              </w:rPr>
            </w:pPr>
            <w:r w:rsidRPr="00AC5FD5">
              <w:rPr>
                <w:b/>
                <w:lang w:val="es-ES_tradnl"/>
              </w:rPr>
              <w:t xml:space="preserve">Web: </w:t>
            </w:r>
            <w:hyperlink r:id="rId7">
              <w:r w:rsidRPr="00AC5FD5">
                <w:rPr>
                  <w:b/>
                  <w:color w:val="1155CC"/>
                  <w:u w:val="single"/>
                  <w:lang w:val="es-ES_tradnl"/>
                </w:rPr>
                <w:t>www.taitonetti.fi</w:t>
              </w:r>
            </w:hyperlink>
            <w:r w:rsidRPr="00AC5FD5">
              <w:rPr>
                <w:b/>
                <w:lang w:val="es-ES_tradnl"/>
              </w:rPr>
              <w:t>,</w:t>
            </w:r>
            <w:hyperlink r:id="rId8">
              <w:r w:rsidRPr="00AC5FD5">
                <w:rPr>
                  <w:b/>
                  <w:lang w:val="es-ES_tradnl"/>
                </w:rPr>
                <w:t xml:space="preserve"> </w:t>
              </w:r>
            </w:hyperlink>
            <w:hyperlink r:id="rId9">
              <w:r w:rsidRPr="00AC5FD5">
                <w:rPr>
                  <w:b/>
                  <w:color w:val="1155CC"/>
                  <w:u w:val="single"/>
                  <w:lang w:val="es-ES_tradnl"/>
                </w:rPr>
                <w:t>www.bytdator.se</w:t>
              </w:r>
            </w:hyperlink>
          </w:p>
        </w:tc>
      </w:tr>
      <w:tr w:rsidR="0060565D" w:rsidRPr="00733537">
        <w:trPr>
          <w:trHeight w:val="960"/>
        </w:trPr>
        <w:tc>
          <w:tcPr>
            <w:tcW w:w="10050" w:type="dxa"/>
            <w:gridSpan w:val="2"/>
            <w:tcBorders>
              <w:top w:val="single" w:sz="4" w:space="0" w:color="000000"/>
              <w:left w:val="single" w:sz="4" w:space="0" w:color="000000"/>
              <w:bottom w:val="single" w:sz="4" w:space="0" w:color="000000"/>
              <w:right w:val="single" w:sz="4" w:space="0" w:color="000000"/>
            </w:tcBorders>
          </w:tcPr>
          <w:p w:rsidR="0060565D" w:rsidRPr="00AC5FD5" w:rsidRDefault="0060565D">
            <w:pPr>
              <w:widowControl w:val="0"/>
              <w:pBdr>
                <w:top w:val="nil"/>
                <w:left w:val="nil"/>
                <w:bottom w:val="nil"/>
                <w:right w:val="nil"/>
                <w:between w:val="nil"/>
              </w:pBdr>
              <w:spacing w:after="0" w:line="276" w:lineRule="auto"/>
              <w:rPr>
                <w:b/>
                <w:lang w:val="es-ES_tradnl"/>
              </w:rPr>
            </w:pPr>
          </w:p>
          <w:tbl>
            <w:tblPr>
              <w:tblStyle w:val="a0"/>
              <w:tblW w:w="9834" w:type="dxa"/>
              <w:tblInd w:w="0" w:type="dxa"/>
              <w:tblLayout w:type="fixed"/>
              <w:tblLook w:val="0400" w:firstRow="0" w:lastRow="0" w:firstColumn="0" w:lastColumn="0" w:noHBand="0" w:noVBand="1"/>
            </w:tblPr>
            <w:tblGrid>
              <w:gridCol w:w="4917"/>
              <w:gridCol w:w="4917"/>
            </w:tblGrid>
            <w:tr w:rsidR="0060565D" w:rsidRPr="00AC5FD5">
              <w:tc>
                <w:tcPr>
                  <w:tcW w:w="4917" w:type="dxa"/>
                </w:tcPr>
                <w:p w:rsidR="0060565D" w:rsidRPr="00AC5FD5" w:rsidRDefault="00733537">
                  <w:pPr>
                    <w:spacing w:after="0" w:line="240" w:lineRule="auto"/>
                    <w:rPr>
                      <w:b/>
                      <w:u w:val="single"/>
                      <w:lang w:val="es-ES_tradnl"/>
                    </w:rPr>
                  </w:pPr>
                  <w:r w:rsidRPr="00AC5FD5">
                    <w:rPr>
                      <w:b/>
                      <w:u w:val="single"/>
                      <w:lang w:val="es-ES_tradnl"/>
                    </w:rPr>
                    <w:t>Sector</w:t>
                  </w:r>
                  <w:r w:rsidR="00D845B1" w:rsidRPr="00AC5FD5">
                    <w:rPr>
                      <w:b/>
                      <w:u w:val="single"/>
                      <w:lang w:val="es-ES_tradnl"/>
                    </w:rPr>
                    <w:t>:</w:t>
                  </w:r>
                </w:p>
                <w:p w:rsidR="0060565D" w:rsidRPr="00AC5FD5" w:rsidRDefault="00D845B1">
                  <w:pPr>
                    <w:spacing w:after="0" w:line="240" w:lineRule="auto"/>
                    <w:rPr>
                      <w:b/>
                      <w:lang w:val="es-ES_tradnl"/>
                    </w:rPr>
                  </w:pPr>
                  <w:r w:rsidRPr="00AC5FD5">
                    <w:rPr>
                      <w:b/>
                      <w:lang w:val="es-ES_tradnl"/>
                    </w:rPr>
                    <w:t>☐</w:t>
                  </w:r>
                  <w:r w:rsidR="00733537" w:rsidRPr="00AC5FD5">
                    <w:rPr>
                      <w:b/>
                      <w:lang w:val="es-ES_tradnl"/>
                    </w:rPr>
                    <w:t xml:space="preserve"> Buena práctica</w:t>
                  </w:r>
                  <w:r w:rsidRPr="00AC5FD5">
                    <w:rPr>
                      <w:b/>
                      <w:lang w:val="es-ES_tradnl"/>
                    </w:rPr>
                    <w:t xml:space="preserve"> - General</w:t>
                  </w:r>
                </w:p>
                <w:p w:rsidR="0060565D" w:rsidRPr="00AC5FD5" w:rsidRDefault="00D845B1">
                  <w:pPr>
                    <w:spacing w:after="0" w:line="240" w:lineRule="auto"/>
                    <w:rPr>
                      <w:b/>
                      <w:lang w:val="es-ES_tradnl"/>
                    </w:rPr>
                  </w:pPr>
                  <w:r w:rsidRPr="00AC5FD5">
                    <w:rPr>
                      <w:b/>
                      <w:lang w:val="es-ES_tradnl"/>
                    </w:rPr>
                    <w:t>☐</w:t>
                  </w:r>
                  <w:r w:rsidRPr="00AC5FD5">
                    <w:rPr>
                      <w:b/>
                      <w:lang w:val="es-ES_tradnl"/>
                    </w:rPr>
                    <w:t xml:space="preserve"> </w:t>
                  </w:r>
                  <w:r w:rsidR="00733537" w:rsidRPr="00AC5FD5">
                    <w:rPr>
                      <w:b/>
                      <w:lang w:val="es-ES_tradnl"/>
                    </w:rPr>
                    <w:t xml:space="preserve">Buena práctica </w:t>
                  </w:r>
                  <w:r w:rsidR="00733537" w:rsidRPr="00AC5FD5">
                    <w:rPr>
                      <w:b/>
                      <w:lang w:val="es-ES_tradnl"/>
                    </w:rPr>
                    <w:t>- Recogida</w:t>
                  </w:r>
                </w:p>
                <w:p w:rsidR="0060565D" w:rsidRPr="00AC5FD5" w:rsidRDefault="00D845B1">
                  <w:pPr>
                    <w:spacing w:after="0" w:line="240" w:lineRule="auto"/>
                    <w:rPr>
                      <w:b/>
                      <w:u w:val="single"/>
                      <w:lang w:val="es-ES_tradnl"/>
                    </w:rPr>
                  </w:pPr>
                  <w:r w:rsidRPr="00AC5FD5">
                    <w:rPr>
                      <w:b/>
                      <w:lang w:val="es-ES_tradnl"/>
                    </w:rPr>
                    <w:t>☒</w:t>
                  </w:r>
                  <w:r w:rsidRPr="00AC5FD5">
                    <w:rPr>
                      <w:b/>
                      <w:lang w:val="es-ES_tradnl"/>
                    </w:rPr>
                    <w:t xml:space="preserve"> </w:t>
                  </w:r>
                  <w:r w:rsidR="00733537" w:rsidRPr="00AC5FD5">
                    <w:rPr>
                      <w:b/>
                      <w:lang w:val="es-ES_tradnl"/>
                    </w:rPr>
                    <w:t xml:space="preserve">Buena práctica </w:t>
                  </w:r>
                  <w:r w:rsidR="00733537" w:rsidRPr="00AC5FD5">
                    <w:rPr>
                      <w:b/>
                      <w:lang w:val="es-ES_tradnl"/>
                    </w:rPr>
                    <w:t>- Valorización</w:t>
                  </w:r>
                </w:p>
              </w:tc>
              <w:tc>
                <w:tcPr>
                  <w:tcW w:w="4917" w:type="dxa"/>
                </w:tcPr>
                <w:p w:rsidR="0060565D" w:rsidRPr="00AC5FD5" w:rsidRDefault="0060565D">
                  <w:pPr>
                    <w:spacing w:after="0" w:line="240" w:lineRule="auto"/>
                    <w:rPr>
                      <w:b/>
                      <w:lang w:val="es-ES_tradnl"/>
                    </w:rPr>
                  </w:pPr>
                </w:p>
                <w:p w:rsidR="0060565D" w:rsidRPr="00AC5FD5" w:rsidRDefault="00D845B1">
                  <w:pPr>
                    <w:spacing w:after="0" w:line="240" w:lineRule="auto"/>
                    <w:rPr>
                      <w:b/>
                      <w:lang w:val="es-ES_tradnl"/>
                    </w:rPr>
                  </w:pPr>
                  <w:r w:rsidRPr="00AC5FD5">
                    <w:rPr>
                      <w:b/>
                      <w:lang w:val="es-ES_tradnl"/>
                    </w:rPr>
                    <w:t>☐</w:t>
                  </w:r>
                  <w:r w:rsidRPr="00AC5FD5">
                    <w:rPr>
                      <w:b/>
                      <w:lang w:val="es-ES_tradnl"/>
                    </w:rPr>
                    <w:t xml:space="preserve"> </w:t>
                  </w:r>
                  <w:r w:rsidR="00733537" w:rsidRPr="00AC5FD5">
                    <w:rPr>
                      <w:b/>
                      <w:lang w:val="es-ES_tradnl"/>
                    </w:rPr>
                    <w:t xml:space="preserve">Buena práctica </w:t>
                  </w:r>
                  <w:r w:rsidRPr="00AC5FD5">
                    <w:rPr>
                      <w:b/>
                      <w:lang w:val="es-ES_tradnl"/>
                    </w:rPr>
                    <w:t xml:space="preserve">- </w:t>
                  </w:r>
                  <w:r w:rsidR="00733537" w:rsidRPr="00AC5FD5">
                    <w:rPr>
                      <w:b/>
                      <w:lang w:val="es-ES_tradnl"/>
                    </w:rPr>
                    <w:t>Venta</w:t>
                  </w:r>
                </w:p>
                <w:p w:rsidR="0060565D" w:rsidRPr="00AC5FD5" w:rsidRDefault="00D845B1" w:rsidP="00733537">
                  <w:pPr>
                    <w:spacing w:after="0" w:line="240" w:lineRule="auto"/>
                    <w:rPr>
                      <w:b/>
                      <w:u w:val="single"/>
                      <w:lang w:val="es-ES_tradnl"/>
                    </w:rPr>
                  </w:pPr>
                  <w:r w:rsidRPr="00AC5FD5">
                    <w:rPr>
                      <w:rFonts w:ascii="Segoe UI Symbol" w:hAnsi="Segoe UI Symbol" w:cs="Segoe UI Symbol"/>
                      <w:b/>
                      <w:lang w:val="es-ES_tradnl"/>
                    </w:rPr>
                    <w:t>☐</w:t>
                  </w:r>
                  <w:r w:rsidRPr="00AC5FD5">
                    <w:rPr>
                      <w:b/>
                      <w:lang w:val="es-ES_tradnl"/>
                    </w:rPr>
                    <w:t xml:space="preserve"> </w:t>
                  </w:r>
                  <w:r w:rsidR="00733537" w:rsidRPr="00AC5FD5">
                    <w:rPr>
                      <w:b/>
                      <w:lang w:val="es-ES_tradnl"/>
                    </w:rPr>
                    <w:t xml:space="preserve">Buena práctica </w:t>
                  </w:r>
                  <w:r w:rsidRPr="00AC5FD5">
                    <w:rPr>
                      <w:b/>
                      <w:lang w:val="es-ES_tradnl"/>
                    </w:rPr>
                    <w:t xml:space="preserve">- </w:t>
                  </w:r>
                  <w:r w:rsidR="00733537" w:rsidRPr="00AC5FD5">
                    <w:rPr>
                      <w:b/>
                      <w:lang w:val="es-ES_tradnl"/>
                    </w:rPr>
                    <w:t>Concienciación</w:t>
                  </w:r>
                </w:p>
              </w:tc>
            </w:tr>
          </w:tbl>
          <w:p w:rsidR="0060565D" w:rsidRPr="00AC5FD5" w:rsidRDefault="0060565D">
            <w:pPr>
              <w:spacing w:after="0" w:line="240" w:lineRule="auto"/>
              <w:rPr>
                <w:b/>
                <w:lang w:val="es-ES_tradnl"/>
              </w:rPr>
            </w:pPr>
          </w:p>
        </w:tc>
      </w:tr>
      <w:tr w:rsidR="0060565D" w:rsidRPr="00733537">
        <w:trPr>
          <w:trHeight w:val="760"/>
        </w:trPr>
        <w:tc>
          <w:tcPr>
            <w:tcW w:w="10050" w:type="dxa"/>
            <w:gridSpan w:val="2"/>
            <w:tcBorders>
              <w:top w:val="single" w:sz="4" w:space="0" w:color="000000"/>
              <w:left w:val="single" w:sz="4" w:space="0" w:color="000000"/>
              <w:bottom w:val="single" w:sz="4" w:space="0" w:color="000000"/>
              <w:right w:val="single" w:sz="4" w:space="0" w:color="000000"/>
            </w:tcBorders>
          </w:tcPr>
          <w:p w:rsidR="0060565D" w:rsidRPr="00AC5FD5" w:rsidRDefault="00733537">
            <w:pPr>
              <w:spacing w:after="0" w:line="240" w:lineRule="auto"/>
              <w:rPr>
                <w:b/>
                <w:u w:val="single"/>
                <w:lang w:val="es-ES_tradnl"/>
              </w:rPr>
            </w:pPr>
            <w:r w:rsidRPr="00AC5FD5">
              <w:rPr>
                <w:b/>
                <w:u w:val="single"/>
                <w:lang w:val="es-ES_tradnl"/>
              </w:rPr>
              <w:t xml:space="preserve">Contexto de implementación </w:t>
            </w:r>
            <w:r w:rsidR="00D845B1" w:rsidRPr="00AC5FD5">
              <w:rPr>
                <w:b/>
                <w:u w:val="single"/>
                <w:lang w:val="es-ES_tradnl"/>
              </w:rPr>
              <w:t>(t</w:t>
            </w:r>
            <w:r w:rsidRPr="00AC5FD5">
              <w:rPr>
                <w:b/>
                <w:u w:val="single"/>
                <w:lang w:val="es-ES_tradnl"/>
              </w:rPr>
              <w:t>erritorio, punto de partida…)</w:t>
            </w:r>
          </w:p>
          <w:p w:rsidR="0060565D" w:rsidRPr="00AC5FD5" w:rsidRDefault="0060565D">
            <w:pPr>
              <w:spacing w:after="0" w:line="240" w:lineRule="auto"/>
              <w:rPr>
                <w:sz w:val="20"/>
                <w:szCs w:val="20"/>
                <w:lang w:val="es-ES_tradnl"/>
              </w:rPr>
            </w:pPr>
          </w:p>
        </w:tc>
      </w:tr>
      <w:tr w:rsidR="0060565D" w:rsidRPr="00117520">
        <w:tc>
          <w:tcPr>
            <w:tcW w:w="10050" w:type="dxa"/>
            <w:gridSpan w:val="2"/>
            <w:tcBorders>
              <w:top w:val="single" w:sz="4" w:space="0" w:color="000000"/>
              <w:left w:val="single" w:sz="4" w:space="0" w:color="000000"/>
              <w:bottom w:val="single" w:sz="4" w:space="0" w:color="000000"/>
              <w:right w:val="single" w:sz="4" w:space="0" w:color="000000"/>
            </w:tcBorders>
          </w:tcPr>
          <w:p w:rsidR="0060565D" w:rsidRPr="00117520" w:rsidRDefault="00733537">
            <w:pPr>
              <w:spacing w:after="0" w:line="240" w:lineRule="auto"/>
              <w:jc w:val="both"/>
              <w:rPr>
                <w:b/>
                <w:lang w:val="es-ES_tradnl"/>
              </w:rPr>
            </w:pPr>
            <w:r w:rsidRPr="00117520">
              <w:rPr>
                <w:b/>
                <w:u w:val="single"/>
                <w:lang w:val="es-ES_tradnl"/>
              </w:rPr>
              <w:t xml:space="preserve">Práctica, método de intervención y objetivos de la propuesta </w:t>
            </w:r>
          </w:p>
          <w:p w:rsidR="0060565D" w:rsidRPr="00117520" w:rsidRDefault="00733537">
            <w:pPr>
              <w:spacing w:after="0" w:line="240" w:lineRule="auto"/>
              <w:jc w:val="both"/>
              <w:rPr>
                <w:sz w:val="18"/>
                <w:szCs w:val="18"/>
                <w:lang w:val="es-ES_tradnl"/>
              </w:rPr>
            </w:pPr>
            <w:r w:rsidRPr="00117520">
              <w:rPr>
                <w:sz w:val="18"/>
                <w:szCs w:val="18"/>
                <w:lang w:val="es-ES_tradnl"/>
              </w:rPr>
              <w:t xml:space="preserve">La fabricación de ordenadores consume cantidades enormes de recursos naturales, tales como metales raros. </w:t>
            </w:r>
            <w:proofErr w:type="spellStart"/>
            <w:r w:rsidR="00D845B1" w:rsidRPr="00117520">
              <w:rPr>
                <w:sz w:val="18"/>
                <w:szCs w:val="18"/>
                <w:lang w:val="es-ES_tradnl"/>
              </w:rPr>
              <w:t>Taitonetti</w:t>
            </w:r>
            <w:proofErr w:type="spellEnd"/>
            <w:r w:rsidR="00D845B1" w:rsidRPr="00117520">
              <w:rPr>
                <w:sz w:val="18"/>
                <w:szCs w:val="18"/>
                <w:lang w:val="es-ES_tradnl"/>
              </w:rPr>
              <w:t xml:space="preserve"> </w:t>
            </w:r>
            <w:r w:rsidRPr="00117520">
              <w:rPr>
                <w:sz w:val="18"/>
                <w:szCs w:val="18"/>
                <w:lang w:val="es-ES_tradnl"/>
              </w:rPr>
              <w:t xml:space="preserve">vende ordenadores reciclados de alta calidad. Un ordenador de segunda mano de buena calidad es una alternativa inteligente para empresas y consumidores en lugar de uno nuevo y posiblemente de calidad inferior. </w:t>
            </w:r>
          </w:p>
          <w:p w:rsidR="0060565D" w:rsidRPr="00117520" w:rsidRDefault="00D845B1">
            <w:pPr>
              <w:spacing w:after="0" w:line="240" w:lineRule="auto"/>
              <w:jc w:val="both"/>
              <w:rPr>
                <w:b/>
                <w:sz w:val="18"/>
                <w:szCs w:val="18"/>
                <w:lang w:val="es-ES_tradnl"/>
              </w:rPr>
            </w:pPr>
            <w:r w:rsidRPr="00117520">
              <w:rPr>
                <w:b/>
                <w:sz w:val="18"/>
                <w:szCs w:val="18"/>
                <w:lang w:val="es-ES_tradnl"/>
              </w:rPr>
              <w:t>Problem</w:t>
            </w:r>
            <w:r w:rsidR="00733537" w:rsidRPr="00117520">
              <w:rPr>
                <w:b/>
                <w:sz w:val="18"/>
                <w:szCs w:val="18"/>
                <w:lang w:val="es-ES_tradnl"/>
              </w:rPr>
              <w:t>a</w:t>
            </w:r>
          </w:p>
          <w:p w:rsidR="0060565D" w:rsidRPr="00117520" w:rsidRDefault="00733537">
            <w:pPr>
              <w:spacing w:after="0" w:line="240" w:lineRule="auto"/>
              <w:jc w:val="both"/>
              <w:rPr>
                <w:sz w:val="18"/>
                <w:szCs w:val="18"/>
                <w:lang w:val="es-ES_tradnl"/>
              </w:rPr>
            </w:pPr>
            <w:r w:rsidRPr="00117520">
              <w:rPr>
                <w:sz w:val="18"/>
                <w:szCs w:val="18"/>
                <w:lang w:val="es-ES_tradnl"/>
              </w:rPr>
              <w:t xml:space="preserve">El proceso de fabricación de un ordenador consume aproximadamente 1.500 kg de recursos naturales, que incluye metales raros y valiosos. Además, durante el proceso se consume gran cantidad de electricidad. El mayor impacto ecológico de la fabricación de ordenadores se produce durante la producción, por eso es necesario intentar que su vida útil sea lo más larga posible. Los ordenadores baratos no son siempre duraderos y puede que su reparación no merezca la pena. Sin embargo, no todo el mundo se puede permitir comprar ordenadores que tengan una vida útil más larga. </w:t>
            </w:r>
            <w:r w:rsidR="00D845B1" w:rsidRPr="00117520">
              <w:rPr>
                <w:sz w:val="18"/>
                <w:szCs w:val="18"/>
                <w:lang w:val="es-ES_tradnl"/>
              </w:rPr>
              <w:t xml:space="preserve"> </w:t>
            </w:r>
          </w:p>
          <w:p w:rsidR="0060565D" w:rsidRPr="00117520" w:rsidRDefault="00AC5FD5">
            <w:pPr>
              <w:pStyle w:val="Ttulo2"/>
              <w:keepNext w:val="0"/>
              <w:keepLines w:val="0"/>
              <w:spacing w:line="240" w:lineRule="auto"/>
              <w:jc w:val="both"/>
              <w:rPr>
                <w:sz w:val="18"/>
                <w:szCs w:val="18"/>
                <w:lang w:val="es-ES_tradnl"/>
              </w:rPr>
            </w:pPr>
            <w:bookmarkStart w:id="1" w:name="_9l1qkd2c9ham" w:colFirst="0" w:colLast="0"/>
            <w:bookmarkEnd w:id="1"/>
            <w:r w:rsidRPr="00117520">
              <w:rPr>
                <w:sz w:val="18"/>
                <w:szCs w:val="18"/>
                <w:lang w:val="es-ES_tradnl"/>
              </w:rPr>
              <w:t>Solució</w:t>
            </w:r>
            <w:r w:rsidR="00D845B1" w:rsidRPr="00117520">
              <w:rPr>
                <w:sz w:val="18"/>
                <w:szCs w:val="18"/>
                <w:lang w:val="es-ES_tradnl"/>
              </w:rPr>
              <w:t xml:space="preserve">n: </w:t>
            </w:r>
            <w:r w:rsidRPr="00117520">
              <w:rPr>
                <w:sz w:val="18"/>
                <w:szCs w:val="18"/>
                <w:lang w:val="es-ES_tradnl"/>
              </w:rPr>
              <w:t xml:space="preserve">Ordenadores usados de alta calidad </w:t>
            </w:r>
          </w:p>
          <w:p w:rsidR="0060565D" w:rsidRPr="00117520" w:rsidRDefault="00D845B1">
            <w:pPr>
              <w:spacing w:after="0" w:line="240" w:lineRule="auto"/>
              <w:jc w:val="both"/>
              <w:rPr>
                <w:sz w:val="18"/>
                <w:szCs w:val="18"/>
                <w:lang w:val="es-ES_tradnl"/>
              </w:rPr>
            </w:pPr>
            <w:proofErr w:type="spellStart"/>
            <w:r w:rsidRPr="00117520">
              <w:rPr>
                <w:sz w:val="18"/>
                <w:szCs w:val="18"/>
                <w:lang w:val="es-ES_tradnl"/>
              </w:rPr>
              <w:t>Taitonetti</w:t>
            </w:r>
            <w:proofErr w:type="spellEnd"/>
            <w:r w:rsidRPr="00117520">
              <w:rPr>
                <w:sz w:val="18"/>
                <w:szCs w:val="18"/>
                <w:lang w:val="es-ES_tradnl"/>
              </w:rPr>
              <w:t xml:space="preserve"> </w:t>
            </w:r>
            <w:r w:rsidR="00AC5FD5" w:rsidRPr="00117520">
              <w:rPr>
                <w:sz w:val="18"/>
                <w:szCs w:val="18"/>
                <w:lang w:val="es-ES_tradnl"/>
              </w:rPr>
              <w:t xml:space="preserve">compra ordenadores de alta calidad usados por empresas y los vende a consumidores u otras empresas después de </w:t>
            </w:r>
            <w:r w:rsidR="00117520" w:rsidRPr="00117520">
              <w:rPr>
                <w:sz w:val="18"/>
                <w:szCs w:val="18"/>
                <w:lang w:val="es-ES_tradnl"/>
              </w:rPr>
              <w:t>inspeccionarlos</w:t>
            </w:r>
            <w:r w:rsidR="00AC5FD5" w:rsidRPr="00117520">
              <w:rPr>
                <w:sz w:val="18"/>
                <w:szCs w:val="18"/>
                <w:lang w:val="es-ES_tradnl"/>
              </w:rPr>
              <w:t xml:space="preserve"> y probarlos. Se pueden comprar en tienda física y on-line. La empresa también dispone de un servicio al consumidor de actualización de ordenadores para hacerlos más potentes y válidos para videojuegos. Al ampliar la vida útil, por ejemplo, de un portátil de 3 a 7 años, se puede reducir la huella de </w:t>
            </w:r>
            <w:r w:rsidR="00117520" w:rsidRPr="00117520">
              <w:rPr>
                <w:sz w:val="18"/>
                <w:szCs w:val="18"/>
                <w:lang w:val="es-ES_tradnl"/>
              </w:rPr>
              <w:t>carbón</w:t>
            </w:r>
            <w:r w:rsidR="00AC5FD5" w:rsidRPr="00117520">
              <w:rPr>
                <w:sz w:val="18"/>
                <w:szCs w:val="18"/>
                <w:lang w:val="es-ES_tradnl"/>
              </w:rPr>
              <w:t xml:space="preserve"> hasta un 50%.</w:t>
            </w:r>
            <w:r w:rsidRPr="00117520">
              <w:rPr>
                <w:sz w:val="18"/>
                <w:szCs w:val="18"/>
                <w:lang w:val="es-ES_tradnl"/>
              </w:rPr>
              <w:t xml:space="preserve"> </w:t>
            </w:r>
          </w:p>
          <w:p w:rsidR="0060565D" w:rsidRPr="00117520" w:rsidRDefault="00AC5FD5">
            <w:pPr>
              <w:pStyle w:val="Ttulo2"/>
              <w:keepNext w:val="0"/>
              <w:keepLines w:val="0"/>
              <w:spacing w:line="240" w:lineRule="auto"/>
              <w:jc w:val="both"/>
              <w:rPr>
                <w:sz w:val="18"/>
                <w:szCs w:val="18"/>
                <w:lang w:val="es-ES_tradnl"/>
              </w:rPr>
            </w:pPr>
            <w:bookmarkStart w:id="2" w:name="_zffr19yuhmjp" w:colFirst="0" w:colLast="0"/>
            <w:bookmarkEnd w:id="2"/>
            <w:r w:rsidRPr="00117520">
              <w:rPr>
                <w:sz w:val="18"/>
                <w:szCs w:val="18"/>
                <w:lang w:val="es-ES_tradnl"/>
              </w:rPr>
              <w:t xml:space="preserve">Ingresos y beneficios para </w:t>
            </w:r>
            <w:proofErr w:type="spellStart"/>
            <w:r w:rsidR="00D845B1" w:rsidRPr="00117520">
              <w:rPr>
                <w:sz w:val="18"/>
                <w:szCs w:val="18"/>
                <w:lang w:val="es-ES_tradnl"/>
              </w:rPr>
              <w:t>Taitonetti</w:t>
            </w:r>
            <w:proofErr w:type="spellEnd"/>
          </w:p>
          <w:p w:rsidR="0060565D" w:rsidRPr="00117520" w:rsidRDefault="00AC5FD5">
            <w:pPr>
              <w:spacing w:after="0" w:line="240" w:lineRule="auto"/>
              <w:jc w:val="both"/>
              <w:rPr>
                <w:sz w:val="18"/>
                <w:szCs w:val="18"/>
                <w:lang w:val="es-ES_tradnl"/>
              </w:rPr>
            </w:pPr>
            <w:r w:rsidRPr="00117520">
              <w:rPr>
                <w:sz w:val="18"/>
                <w:szCs w:val="18"/>
                <w:lang w:val="es-ES_tradnl"/>
              </w:rPr>
              <w:t xml:space="preserve">Los ingresos de </w:t>
            </w:r>
            <w:proofErr w:type="spellStart"/>
            <w:r w:rsidRPr="00117520">
              <w:rPr>
                <w:sz w:val="18"/>
                <w:szCs w:val="18"/>
                <w:lang w:val="es-ES_tradnl"/>
              </w:rPr>
              <w:t>Taitonetti</w:t>
            </w:r>
            <w:proofErr w:type="spellEnd"/>
            <w:r w:rsidRPr="00117520">
              <w:rPr>
                <w:sz w:val="18"/>
                <w:szCs w:val="18"/>
                <w:lang w:val="es-ES_tradnl"/>
              </w:rPr>
              <w:t xml:space="preserve"> provienen del servicio al cliente y de las ventas de ordenadores, que se utiliza para cubrir los gastos de la compra y los costes de los servicios de ordenadores usados. Los ordenadores en muy malas condiciones pueden ser reciclados por piezas, lo que supone un servicio más rentable que utilizar piezas nuevas para repararlos. Además</w:t>
            </w:r>
            <w:r w:rsidR="00117520" w:rsidRPr="00117520">
              <w:rPr>
                <w:sz w:val="18"/>
                <w:szCs w:val="18"/>
                <w:lang w:val="es-ES_tradnl"/>
              </w:rPr>
              <w:t>,</w:t>
            </w:r>
            <w:r w:rsidRPr="00117520">
              <w:rPr>
                <w:sz w:val="18"/>
                <w:szCs w:val="18"/>
                <w:lang w:val="es-ES_tradnl"/>
              </w:rPr>
              <w:t xml:space="preserve"> la empresa compra en grandes cantidades lo que permite operar </w:t>
            </w:r>
            <w:r w:rsidR="00117520" w:rsidRPr="00117520">
              <w:rPr>
                <w:sz w:val="18"/>
                <w:szCs w:val="18"/>
                <w:lang w:val="es-ES_tradnl"/>
              </w:rPr>
              <w:t xml:space="preserve">y ofrecer operaciones a gran escala. </w:t>
            </w:r>
          </w:p>
          <w:p w:rsidR="0060565D" w:rsidRPr="00117520" w:rsidRDefault="00D845B1">
            <w:pPr>
              <w:pStyle w:val="Ttulo2"/>
              <w:keepNext w:val="0"/>
              <w:keepLines w:val="0"/>
              <w:spacing w:line="240" w:lineRule="auto"/>
              <w:jc w:val="both"/>
              <w:rPr>
                <w:sz w:val="18"/>
                <w:szCs w:val="18"/>
                <w:lang w:val="es-ES_tradnl"/>
              </w:rPr>
            </w:pPr>
            <w:bookmarkStart w:id="3" w:name="_f89d0pe6nhd" w:colFirst="0" w:colLast="0"/>
            <w:bookmarkEnd w:id="3"/>
            <w:r w:rsidRPr="00117520">
              <w:rPr>
                <w:sz w:val="18"/>
                <w:szCs w:val="18"/>
                <w:lang w:val="es-ES_tradnl"/>
              </w:rPr>
              <w:t>Bene</w:t>
            </w:r>
            <w:r w:rsidR="00117520" w:rsidRPr="00117520">
              <w:rPr>
                <w:sz w:val="18"/>
                <w:szCs w:val="18"/>
                <w:lang w:val="es-ES_tradnl"/>
              </w:rPr>
              <w:t xml:space="preserve">ficios para los clientes y usuarios finales </w:t>
            </w:r>
          </w:p>
          <w:p w:rsidR="0060565D" w:rsidRPr="00117520" w:rsidRDefault="00117520">
            <w:pPr>
              <w:spacing w:after="0" w:line="240" w:lineRule="auto"/>
              <w:jc w:val="both"/>
              <w:rPr>
                <w:sz w:val="18"/>
                <w:szCs w:val="18"/>
                <w:lang w:val="es-ES_tradnl"/>
              </w:rPr>
            </w:pPr>
            <w:r w:rsidRPr="00117520">
              <w:rPr>
                <w:sz w:val="18"/>
                <w:szCs w:val="18"/>
                <w:lang w:val="es-ES_tradnl"/>
              </w:rPr>
              <w:t xml:space="preserve">El cliente recibe un ordenador usado de gran calidad a un precio más asequible que Nuevo. </w:t>
            </w:r>
            <w:proofErr w:type="spellStart"/>
            <w:r w:rsidRPr="00117520">
              <w:rPr>
                <w:sz w:val="18"/>
                <w:szCs w:val="18"/>
                <w:lang w:val="es-ES_tradnl"/>
              </w:rPr>
              <w:t>Taitonetti</w:t>
            </w:r>
            <w:proofErr w:type="spellEnd"/>
            <w:r w:rsidRPr="00117520">
              <w:rPr>
                <w:sz w:val="18"/>
                <w:szCs w:val="18"/>
                <w:lang w:val="es-ES_tradnl"/>
              </w:rPr>
              <w:t xml:space="preserve"> ofrece una garantía sobre el producto. Además, el cliente puede obtener un descuento al entregar un ordenador usado en el momento de comprar uno reparado por </w:t>
            </w:r>
            <w:proofErr w:type="spellStart"/>
            <w:r w:rsidRPr="00117520">
              <w:rPr>
                <w:sz w:val="18"/>
                <w:szCs w:val="18"/>
                <w:lang w:val="es-ES_tradnl"/>
              </w:rPr>
              <w:t>Taitonetti</w:t>
            </w:r>
            <w:proofErr w:type="spellEnd"/>
            <w:r w:rsidRPr="00117520">
              <w:rPr>
                <w:sz w:val="18"/>
                <w:szCs w:val="18"/>
                <w:lang w:val="es-ES_tradnl"/>
              </w:rPr>
              <w:t xml:space="preserve">. El cliente tiene un comportamiento más ecológico al comprar un ordenador reparado en lugar de uno nuevo. </w:t>
            </w:r>
          </w:p>
          <w:p w:rsidR="0060565D" w:rsidRPr="00117520" w:rsidRDefault="0060565D">
            <w:pPr>
              <w:spacing w:after="0" w:line="240" w:lineRule="auto"/>
              <w:jc w:val="both"/>
              <w:rPr>
                <w:sz w:val="18"/>
                <w:szCs w:val="18"/>
                <w:lang w:val="es-ES_tradnl"/>
              </w:rPr>
            </w:pPr>
          </w:p>
          <w:tbl>
            <w:tblPr>
              <w:tblStyle w:val="a1"/>
              <w:tblW w:w="9834" w:type="dxa"/>
              <w:tblInd w:w="0" w:type="dxa"/>
              <w:tblLayout w:type="fixed"/>
              <w:tblLook w:val="0400" w:firstRow="0" w:lastRow="0" w:firstColumn="0" w:lastColumn="0" w:noHBand="0" w:noVBand="1"/>
            </w:tblPr>
            <w:tblGrid>
              <w:gridCol w:w="4917"/>
              <w:gridCol w:w="4917"/>
            </w:tblGrid>
            <w:tr w:rsidR="0060565D" w:rsidRPr="00117520">
              <w:tc>
                <w:tcPr>
                  <w:tcW w:w="4917" w:type="dxa"/>
                </w:tcPr>
                <w:p w:rsidR="0060565D" w:rsidRPr="00117520" w:rsidRDefault="0060565D">
                  <w:pPr>
                    <w:spacing w:after="0" w:line="240" w:lineRule="auto"/>
                    <w:jc w:val="both"/>
                    <w:rPr>
                      <w:b/>
                      <w:sz w:val="18"/>
                      <w:szCs w:val="18"/>
                      <w:lang w:val="es-ES_tradnl"/>
                    </w:rPr>
                  </w:pPr>
                </w:p>
                <w:p w:rsidR="0060565D" w:rsidRPr="00117520" w:rsidRDefault="0060565D">
                  <w:pPr>
                    <w:spacing w:after="0" w:line="240" w:lineRule="auto"/>
                    <w:jc w:val="both"/>
                    <w:rPr>
                      <w:b/>
                      <w:sz w:val="18"/>
                      <w:szCs w:val="18"/>
                      <w:lang w:val="es-ES_tradnl"/>
                    </w:rPr>
                  </w:pPr>
                </w:p>
              </w:tc>
              <w:tc>
                <w:tcPr>
                  <w:tcW w:w="4917" w:type="dxa"/>
                </w:tcPr>
                <w:p w:rsidR="0060565D" w:rsidRPr="00117520" w:rsidRDefault="0060565D">
                  <w:pPr>
                    <w:spacing w:after="0" w:line="240" w:lineRule="auto"/>
                    <w:jc w:val="both"/>
                    <w:rPr>
                      <w:b/>
                      <w:sz w:val="18"/>
                      <w:szCs w:val="18"/>
                      <w:lang w:val="es-ES_tradnl"/>
                    </w:rPr>
                  </w:pPr>
                </w:p>
                <w:p w:rsidR="0060565D" w:rsidRPr="00117520" w:rsidRDefault="0060565D">
                  <w:pPr>
                    <w:spacing w:after="0" w:line="240" w:lineRule="auto"/>
                    <w:jc w:val="both"/>
                    <w:rPr>
                      <w:b/>
                      <w:sz w:val="18"/>
                      <w:szCs w:val="18"/>
                      <w:lang w:val="es-ES_tradnl"/>
                    </w:rPr>
                  </w:pPr>
                </w:p>
              </w:tc>
            </w:tr>
          </w:tbl>
          <w:p w:rsidR="0060565D" w:rsidRPr="00117520" w:rsidRDefault="0060565D">
            <w:pPr>
              <w:spacing w:after="0" w:line="240" w:lineRule="auto"/>
              <w:jc w:val="both"/>
              <w:rPr>
                <w:b/>
                <w:lang w:val="es-ES_tradnl"/>
              </w:rPr>
            </w:pPr>
          </w:p>
        </w:tc>
      </w:tr>
      <w:tr w:rsidR="0060565D" w:rsidRPr="00117520">
        <w:tc>
          <w:tcPr>
            <w:tcW w:w="5235" w:type="dxa"/>
            <w:tcBorders>
              <w:top w:val="single" w:sz="4" w:space="0" w:color="000000"/>
              <w:left w:val="single" w:sz="4" w:space="0" w:color="000000"/>
              <w:bottom w:val="single" w:sz="4" w:space="0" w:color="000000"/>
              <w:right w:val="single" w:sz="4" w:space="0" w:color="000000"/>
            </w:tcBorders>
          </w:tcPr>
          <w:p w:rsidR="0060565D" w:rsidRPr="00117520" w:rsidRDefault="00D845B1">
            <w:pPr>
              <w:spacing w:after="0" w:line="240" w:lineRule="auto"/>
              <w:rPr>
                <w:b/>
                <w:u w:val="single"/>
                <w:lang w:val="es-ES_tradnl"/>
              </w:rPr>
            </w:pPr>
            <w:r w:rsidRPr="00117520">
              <w:rPr>
                <w:b/>
                <w:u w:val="single"/>
                <w:lang w:val="es-ES_tradnl"/>
              </w:rPr>
              <w:t>Result</w:t>
            </w:r>
            <w:r w:rsidR="00117520">
              <w:rPr>
                <w:b/>
                <w:u w:val="single"/>
                <w:lang w:val="es-ES_tradnl"/>
              </w:rPr>
              <w:t>ado</w:t>
            </w:r>
            <w:r w:rsidRPr="00117520">
              <w:rPr>
                <w:b/>
                <w:u w:val="single"/>
                <w:lang w:val="es-ES_tradnl"/>
              </w:rPr>
              <w:t>s (impact</w:t>
            </w:r>
            <w:r w:rsidR="00117520">
              <w:rPr>
                <w:b/>
                <w:u w:val="single"/>
                <w:lang w:val="es-ES_tradnl"/>
              </w:rPr>
              <w:t xml:space="preserve">o en el público, </w:t>
            </w:r>
            <w:proofErr w:type="gramStart"/>
            <w:r w:rsidR="00117520">
              <w:rPr>
                <w:b/>
                <w:u w:val="single"/>
                <w:lang w:val="es-ES_tradnl"/>
              </w:rPr>
              <w:t>territorio,…</w:t>
            </w:r>
            <w:proofErr w:type="gramEnd"/>
            <w:r w:rsidR="00117520">
              <w:rPr>
                <w:b/>
                <w:u w:val="single"/>
                <w:lang w:val="es-ES_tradnl"/>
              </w:rPr>
              <w:t xml:space="preserve">) </w:t>
            </w:r>
          </w:p>
          <w:p w:rsidR="0060565D" w:rsidRPr="00117520" w:rsidRDefault="00117520" w:rsidP="00117520">
            <w:pPr>
              <w:spacing w:after="0" w:line="240" w:lineRule="auto"/>
              <w:rPr>
                <w:lang w:val="es-ES"/>
              </w:rPr>
            </w:pPr>
            <w:r w:rsidRPr="00117520">
              <w:rPr>
                <w:lang w:val="es-ES"/>
              </w:rPr>
              <w:t>Reutilización de ordenadores y component</w:t>
            </w:r>
            <w:r>
              <w:rPr>
                <w:lang w:val="es-ES"/>
              </w:rPr>
              <w:t>e</w:t>
            </w:r>
            <w:r w:rsidRPr="00117520">
              <w:rPr>
                <w:lang w:val="es-ES"/>
              </w:rPr>
              <w:t xml:space="preserve">s </w:t>
            </w:r>
            <w:r w:rsidR="00D845B1" w:rsidRPr="00117520">
              <w:rPr>
                <w:lang w:val="es-E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60565D" w:rsidRDefault="00117520">
            <w:pPr>
              <w:spacing w:after="0" w:line="240" w:lineRule="auto"/>
              <w:rPr>
                <w:b/>
                <w:u w:val="single"/>
              </w:rPr>
            </w:pPr>
            <w:proofErr w:type="spellStart"/>
            <w:r>
              <w:rPr>
                <w:b/>
                <w:u w:val="single"/>
              </w:rPr>
              <w:t>Público</w:t>
            </w:r>
            <w:proofErr w:type="spellEnd"/>
            <w:r>
              <w:rPr>
                <w:b/>
                <w:u w:val="single"/>
              </w:rPr>
              <w:t xml:space="preserve"> </w:t>
            </w:r>
            <w:proofErr w:type="spellStart"/>
            <w:r>
              <w:rPr>
                <w:b/>
                <w:u w:val="single"/>
              </w:rPr>
              <w:t>objetivo</w:t>
            </w:r>
            <w:proofErr w:type="spellEnd"/>
            <w:r>
              <w:rPr>
                <w:b/>
                <w:u w:val="single"/>
              </w:rPr>
              <w:t xml:space="preserve">: </w:t>
            </w:r>
          </w:p>
          <w:p w:rsidR="0060565D" w:rsidRPr="00117520" w:rsidRDefault="00117520" w:rsidP="00117520">
            <w:pPr>
              <w:spacing w:after="0" w:line="240" w:lineRule="auto"/>
              <w:rPr>
                <w:lang w:val="es-ES"/>
              </w:rPr>
            </w:pPr>
            <w:r w:rsidRPr="00117520">
              <w:rPr>
                <w:lang w:val="es-ES"/>
              </w:rPr>
              <w:t xml:space="preserve">Empresas – consumidores </w:t>
            </w:r>
          </w:p>
        </w:tc>
      </w:tr>
      <w:tr w:rsidR="0060565D" w:rsidRPr="00117520">
        <w:trPr>
          <w:trHeight w:val="720"/>
        </w:trPr>
        <w:tc>
          <w:tcPr>
            <w:tcW w:w="10050" w:type="dxa"/>
            <w:gridSpan w:val="2"/>
            <w:tcBorders>
              <w:top w:val="single" w:sz="4" w:space="0" w:color="000000"/>
              <w:left w:val="single" w:sz="4" w:space="0" w:color="000000"/>
              <w:bottom w:val="single" w:sz="4" w:space="0" w:color="000000"/>
              <w:right w:val="single" w:sz="4" w:space="0" w:color="000000"/>
            </w:tcBorders>
          </w:tcPr>
          <w:p w:rsidR="0060565D" w:rsidRPr="00117520" w:rsidRDefault="00117520">
            <w:pPr>
              <w:spacing w:after="0" w:line="240" w:lineRule="auto"/>
              <w:rPr>
                <w:b/>
                <w:u w:val="single"/>
                <w:lang w:val="es-ES_tradnl"/>
              </w:rPr>
            </w:pPr>
            <w:r>
              <w:rPr>
                <w:b/>
                <w:u w:val="single"/>
                <w:lang w:val="es-ES_tradnl"/>
              </w:rPr>
              <w:t xml:space="preserve">Perspectiva de uso y difusión: </w:t>
            </w:r>
            <w:r w:rsidR="00D845B1" w:rsidRPr="00117520">
              <w:rPr>
                <w:b/>
                <w:u w:val="single"/>
                <w:lang w:val="es-ES_tradnl"/>
              </w:rPr>
              <w:t xml:space="preserve"> </w:t>
            </w:r>
          </w:p>
          <w:p w:rsidR="0060565D" w:rsidRPr="00117520" w:rsidRDefault="00117520" w:rsidP="00117520">
            <w:pPr>
              <w:spacing w:after="0" w:line="240" w:lineRule="auto"/>
              <w:rPr>
                <w:lang w:val="es-ES_tradnl"/>
              </w:rPr>
            </w:pPr>
            <w:r>
              <w:rPr>
                <w:lang w:val="es-ES_tradnl"/>
              </w:rPr>
              <w:t xml:space="preserve">Economía circular en el negocio de los ordenadores. Reutilización de componentes y un vida útil más larga para los aparatos electrónicos </w:t>
            </w:r>
            <w:bookmarkStart w:id="4" w:name="_GoBack"/>
            <w:bookmarkEnd w:id="4"/>
          </w:p>
        </w:tc>
      </w:tr>
      <w:tr w:rsidR="0060565D" w:rsidRPr="00117520">
        <w:trPr>
          <w:trHeight w:val="1260"/>
        </w:trPr>
        <w:tc>
          <w:tcPr>
            <w:tcW w:w="5235" w:type="dxa"/>
            <w:tcBorders>
              <w:top w:val="single" w:sz="4" w:space="0" w:color="000000"/>
              <w:left w:val="single" w:sz="4" w:space="0" w:color="000000"/>
              <w:bottom w:val="single" w:sz="4" w:space="0" w:color="000000"/>
              <w:right w:val="nil"/>
            </w:tcBorders>
            <w:shd w:val="clear" w:color="auto" w:fill="FBD4B4"/>
          </w:tcPr>
          <w:p w:rsidR="0060565D" w:rsidRPr="00117520" w:rsidRDefault="0060565D">
            <w:pPr>
              <w:spacing w:after="0" w:line="240" w:lineRule="auto"/>
              <w:rPr>
                <w:b/>
                <w:lang w:val="es-ES_tradnl"/>
              </w:rPr>
            </w:pPr>
          </w:p>
        </w:tc>
        <w:tc>
          <w:tcPr>
            <w:tcW w:w="4815" w:type="dxa"/>
            <w:tcBorders>
              <w:top w:val="single" w:sz="4" w:space="0" w:color="000000"/>
              <w:left w:val="nil"/>
              <w:bottom w:val="single" w:sz="4" w:space="0" w:color="000000"/>
              <w:right w:val="single" w:sz="4" w:space="0" w:color="000000"/>
            </w:tcBorders>
          </w:tcPr>
          <w:p w:rsidR="0060565D" w:rsidRPr="00117520" w:rsidRDefault="0060565D">
            <w:pPr>
              <w:spacing w:after="0" w:line="240" w:lineRule="auto"/>
              <w:rPr>
                <w:b/>
                <w:lang w:val="es-ES"/>
              </w:rPr>
            </w:pPr>
          </w:p>
        </w:tc>
      </w:tr>
      <w:tr w:rsidR="0060565D" w:rsidRPr="00117520">
        <w:trPr>
          <w:trHeight w:val="960"/>
        </w:trPr>
        <w:tc>
          <w:tcPr>
            <w:tcW w:w="10050" w:type="dxa"/>
            <w:gridSpan w:val="2"/>
            <w:tcBorders>
              <w:top w:val="single" w:sz="4" w:space="0" w:color="000000"/>
              <w:left w:val="single" w:sz="4" w:space="0" w:color="000000"/>
              <w:bottom w:val="single" w:sz="4" w:space="0" w:color="000000"/>
              <w:right w:val="single" w:sz="4" w:space="0" w:color="000000"/>
            </w:tcBorders>
            <w:shd w:val="clear" w:color="auto" w:fill="auto"/>
          </w:tcPr>
          <w:p w:rsidR="0060565D" w:rsidRPr="00117520" w:rsidRDefault="0060565D">
            <w:pPr>
              <w:spacing w:after="0" w:line="240" w:lineRule="auto"/>
              <w:rPr>
                <w:b/>
                <w:lang w:val="es-ES_tradnl"/>
              </w:rPr>
            </w:pPr>
          </w:p>
        </w:tc>
      </w:tr>
      <w:tr w:rsidR="0060565D" w:rsidRPr="00117520">
        <w:trPr>
          <w:trHeight w:val="760"/>
        </w:trPr>
        <w:tc>
          <w:tcPr>
            <w:tcW w:w="10050" w:type="dxa"/>
            <w:gridSpan w:val="2"/>
            <w:tcBorders>
              <w:top w:val="single" w:sz="4" w:space="0" w:color="000000"/>
            </w:tcBorders>
          </w:tcPr>
          <w:p w:rsidR="0060565D" w:rsidRPr="00117520" w:rsidRDefault="0060565D">
            <w:pPr>
              <w:spacing w:after="0" w:line="240" w:lineRule="auto"/>
              <w:rPr>
                <w:lang w:val="es-ES_tradnl"/>
              </w:rPr>
            </w:pPr>
          </w:p>
        </w:tc>
      </w:tr>
      <w:tr w:rsidR="0060565D" w:rsidRPr="00117520">
        <w:tc>
          <w:tcPr>
            <w:tcW w:w="10050" w:type="dxa"/>
            <w:gridSpan w:val="2"/>
          </w:tcPr>
          <w:p w:rsidR="0060565D" w:rsidRPr="00117520" w:rsidRDefault="0060565D">
            <w:pPr>
              <w:numPr>
                <w:ilvl w:val="0"/>
                <w:numId w:val="1"/>
              </w:numPr>
              <w:spacing w:after="0" w:line="240" w:lineRule="auto"/>
              <w:jc w:val="both"/>
              <w:rPr>
                <w:b/>
                <w:lang w:val="es-ES_tradnl"/>
              </w:rPr>
            </w:pPr>
          </w:p>
        </w:tc>
      </w:tr>
      <w:tr w:rsidR="0060565D" w:rsidRPr="00117520">
        <w:tc>
          <w:tcPr>
            <w:tcW w:w="5235" w:type="dxa"/>
          </w:tcPr>
          <w:p w:rsidR="0060565D" w:rsidRPr="00117520" w:rsidRDefault="0060565D">
            <w:pPr>
              <w:spacing w:after="0" w:line="240" w:lineRule="auto"/>
              <w:jc w:val="both"/>
              <w:rPr>
                <w:i/>
                <w:lang w:val="es-ES_tradnl"/>
              </w:rPr>
            </w:pPr>
          </w:p>
        </w:tc>
        <w:tc>
          <w:tcPr>
            <w:tcW w:w="4815" w:type="dxa"/>
          </w:tcPr>
          <w:p w:rsidR="0060565D" w:rsidRPr="00117520" w:rsidRDefault="0060565D">
            <w:pPr>
              <w:spacing w:after="0" w:line="240" w:lineRule="auto"/>
              <w:rPr>
                <w:lang w:val="es-ES"/>
              </w:rPr>
            </w:pPr>
          </w:p>
        </w:tc>
      </w:tr>
      <w:tr w:rsidR="0060565D" w:rsidRPr="00117520">
        <w:trPr>
          <w:trHeight w:val="1040"/>
        </w:trPr>
        <w:tc>
          <w:tcPr>
            <w:tcW w:w="10050" w:type="dxa"/>
            <w:gridSpan w:val="2"/>
          </w:tcPr>
          <w:p w:rsidR="0060565D" w:rsidRPr="00117520" w:rsidRDefault="0060565D">
            <w:pPr>
              <w:spacing w:after="0" w:line="240" w:lineRule="auto"/>
              <w:rPr>
                <w:b/>
                <w:lang w:val="es-ES"/>
              </w:rPr>
            </w:pPr>
          </w:p>
        </w:tc>
      </w:tr>
    </w:tbl>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p w:rsidR="0060565D" w:rsidRPr="00117520" w:rsidRDefault="0060565D">
      <w:pPr>
        <w:rPr>
          <w:lang w:val="es-ES"/>
        </w:rPr>
      </w:pPr>
    </w:p>
    <w:sectPr w:rsidR="0060565D" w:rsidRPr="00117520">
      <w:headerReference w:type="default"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B1" w:rsidRDefault="00D845B1">
      <w:pPr>
        <w:spacing w:after="0" w:line="240" w:lineRule="auto"/>
      </w:pPr>
      <w:r>
        <w:separator/>
      </w:r>
    </w:p>
  </w:endnote>
  <w:endnote w:type="continuationSeparator" w:id="0">
    <w:p w:rsidR="00D845B1" w:rsidRDefault="00D8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5D" w:rsidRDefault="00D845B1">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612775" cy="7921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775" cy="792163"/>
                  </a:xfrm>
                  <a:prstGeom prst="rect">
                    <a:avLst/>
                  </a:prstGeom>
                  <a:ln/>
                </pic:spPr>
              </pic:pic>
            </a:graphicData>
          </a:graphic>
        </wp:inline>
      </w:drawing>
    </w:r>
    <w:r>
      <w:rPr>
        <w:color w:val="000000"/>
      </w:rPr>
      <w:t xml:space="preserve"> </w:t>
    </w:r>
    <w:r>
      <w:rPr>
        <w:noProof/>
        <w:color w:val="000000"/>
      </w:rPr>
      <w:drawing>
        <wp:inline distT="0" distB="0" distL="0" distR="0">
          <wp:extent cx="703263" cy="433388"/>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703263" cy="433388"/>
                  </a:xfrm>
                  <a:prstGeom prst="rect">
                    <a:avLst/>
                  </a:prstGeom>
                  <a:ln/>
                </pic:spPr>
              </pic:pic>
            </a:graphicData>
          </a:graphic>
        </wp:inline>
      </w:drawing>
    </w:r>
    <w:r>
      <w:rPr>
        <w:color w:val="000000"/>
      </w:rPr>
      <w:t xml:space="preserve"> </w:t>
    </w:r>
    <w:r>
      <w:rPr>
        <w:noProof/>
        <w:color w:val="000000"/>
      </w:rPr>
      <w:drawing>
        <wp:inline distT="0" distB="0" distL="0" distR="0">
          <wp:extent cx="1049338" cy="404812"/>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049338" cy="404812"/>
                  </a:xfrm>
                  <a:prstGeom prst="rect">
                    <a:avLst/>
                  </a:prstGeom>
                  <a:ln/>
                </pic:spPr>
              </pic:pic>
            </a:graphicData>
          </a:graphic>
        </wp:inline>
      </w:drawing>
    </w:r>
    <w:r>
      <w:rPr>
        <w:color w:val="000000"/>
      </w:rPr>
      <w:t xml:space="preserve"> </w:t>
    </w:r>
    <w:r>
      <w:rPr>
        <w:noProof/>
        <w:color w:val="000000"/>
      </w:rPr>
      <w:drawing>
        <wp:inline distT="0" distB="0" distL="0" distR="0">
          <wp:extent cx="468313" cy="4445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468313" cy="444500"/>
                  </a:xfrm>
                  <a:prstGeom prst="rect">
                    <a:avLst/>
                  </a:prstGeom>
                  <a:ln/>
                </pic:spPr>
              </pic:pic>
            </a:graphicData>
          </a:graphic>
        </wp:inline>
      </w:drawing>
    </w:r>
    <w:r>
      <w:rPr>
        <w:color w:val="000000"/>
      </w:rPr>
      <w:t xml:space="preserve"> </w:t>
    </w:r>
    <w:r>
      <w:rPr>
        <w:noProof/>
        <w:color w:val="000000"/>
      </w:rPr>
      <w:drawing>
        <wp:inline distT="0" distB="0" distL="0" distR="0">
          <wp:extent cx="801688" cy="403226"/>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01688" cy="403226"/>
                  </a:xfrm>
                  <a:prstGeom prst="rect">
                    <a:avLst/>
                  </a:prstGeom>
                  <a:ln/>
                </pic:spPr>
              </pic:pic>
            </a:graphicData>
          </a:graphic>
        </wp:inline>
      </w:drawing>
    </w:r>
    <w:r>
      <w:rPr>
        <w:color w:val="000000"/>
      </w:rPr>
      <w:t xml:space="preserve"> </w:t>
    </w:r>
    <w:r>
      <w:rPr>
        <w:noProof/>
        <w:color w:val="000000"/>
      </w:rPr>
      <w:drawing>
        <wp:inline distT="0" distB="0" distL="0" distR="0">
          <wp:extent cx="822325" cy="369888"/>
          <wp:effectExtent l="0" t="0" r="0" b="0"/>
          <wp:docPr id="10" name="image6.jpg" descr="asev_logo"/>
          <wp:cNvGraphicFramePr/>
          <a:graphic xmlns:a="http://schemas.openxmlformats.org/drawingml/2006/main">
            <a:graphicData uri="http://schemas.openxmlformats.org/drawingml/2006/picture">
              <pic:pic xmlns:pic="http://schemas.openxmlformats.org/drawingml/2006/picture">
                <pic:nvPicPr>
                  <pic:cNvPr id="0" name="image6.jpg" descr="asev_logo"/>
                  <pic:cNvPicPr preferRelativeResize="0"/>
                </pic:nvPicPr>
                <pic:blipFill>
                  <a:blip r:embed="rId6"/>
                  <a:srcRect/>
                  <a:stretch>
                    <a:fillRect/>
                  </a:stretch>
                </pic:blipFill>
                <pic:spPr>
                  <a:xfrm>
                    <a:off x="0" y="0"/>
                    <a:ext cx="822325" cy="369888"/>
                  </a:xfrm>
                  <a:prstGeom prst="rect">
                    <a:avLst/>
                  </a:prstGeom>
                  <a:ln/>
                </pic:spPr>
              </pic:pic>
            </a:graphicData>
          </a:graphic>
        </wp:inline>
      </w:drawing>
    </w:r>
    <w:r>
      <w:rPr>
        <w:noProof/>
        <w:color w:val="000000"/>
      </w:rPr>
      <w:drawing>
        <wp:inline distT="0" distB="0" distL="0" distR="0">
          <wp:extent cx="1106488" cy="442913"/>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106488" cy="44291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B1" w:rsidRDefault="00D845B1">
      <w:pPr>
        <w:spacing w:after="0" w:line="240" w:lineRule="auto"/>
      </w:pPr>
      <w:r>
        <w:separator/>
      </w:r>
    </w:p>
  </w:footnote>
  <w:footnote w:type="continuationSeparator" w:id="0">
    <w:p w:rsidR="00D845B1" w:rsidRDefault="00D84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5D" w:rsidRDefault="00D845B1">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1890713" cy="706438"/>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890713" cy="706438"/>
                  </a:xfrm>
                  <a:prstGeom prst="rect">
                    <a:avLst/>
                  </a:prstGeom>
                  <a:ln/>
                </pic:spPr>
              </pic:pic>
            </a:graphicData>
          </a:graphic>
        </wp:inline>
      </w:drawing>
    </w:r>
    <w:r>
      <w:rPr>
        <w:color w:val="000000"/>
      </w:rPr>
      <w:tab/>
    </w:r>
    <w:r>
      <w:rPr>
        <w:color w:val="000000"/>
      </w:rPr>
      <w:tab/>
    </w:r>
    <w:r>
      <w:rPr>
        <w:noProof/>
        <w:color w:val="000000"/>
      </w:rPr>
      <w:drawing>
        <wp:inline distT="0" distB="0" distL="0" distR="0">
          <wp:extent cx="1833562" cy="604837"/>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833562" cy="604837"/>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-901699</wp:posOffset>
              </wp:positionH>
              <wp:positionV relativeFrom="paragraph">
                <wp:posOffset>635000</wp:posOffset>
              </wp:positionV>
              <wp:extent cx="7070725" cy="125412"/>
              <wp:effectExtent l="0" t="0" r="0" b="0"/>
              <wp:wrapNone/>
              <wp:docPr id="1" name="Onda 1"/>
              <wp:cNvGraphicFramePr/>
              <a:graphic xmlns:a="http://schemas.openxmlformats.org/drawingml/2006/main">
                <a:graphicData uri="http://schemas.microsoft.com/office/word/2010/wordprocessingShape">
                  <wps:wsp>
                    <wps:cNvSpPr/>
                    <wps:spPr>
                      <a:xfrm>
                        <a:off x="1815400" y="3722057"/>
                        <a:ext cx="7061200" cy="115887"/>
                      </a:xfrm>
                      <a:prstGeom prst="wave">
                        <a:avLst>
                          <a:gd name="adj1" fmla="val 20644"/>
                          <a:gd name="adj2" fmla="val -6088"/>
                        </a:avLst>
                      </a:prstGeom>
                      <a:solidFill>
                        <a:srgbClr val="336600"/>
                      </a:solidFill>
                      <a:ln w="9525" cap="flat" cmpd="sng">
                        <a:solidFill>
                          <a:srgbClr val="CCFF99"/>
                        </a:solidFill>
                        <a:prstDash val="solid"/>
                        <a:round/>
                        <a:headEnd type="none" w="sm" len="sm"/>
                        <a:tailEnd type="none" w="sm" len="sm"/>
                      </a:ln>
                      <a:effectLst>
                        <a:outerShdw dist="28398" dir="3806097" algn="ctr" rotWithShape="0">
                          <a:srgbClr val="205867"/>
                        </a:outerShdw>
                      </a:effectLst>
                    </wps:spPr>
                    <wps:txbx>
                      <w:txbxContent>
                        <w:p w:rsidR="0060565D" w:rsidRDefault="0060565D">
                          <w:pPr>
                            <w:spacing w:after="0" w:line="240" w:lineRule="auto"/>
                            <w:textDirection w:val="btLr"/>
                          </w:pPr>
                        </w:p>
                      </w:txbxContent>
                    </wps:txbx>
                    <wps:bodyPr spcFirstLastPara="1" wrap="square" lIns="91425" tIns="91425" rIns="91425" bIns="91425" anchor="ctr" anchorCtr="0"/>
                  </wps:wsp>
                </a:graphicData>
              </a:graphic>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1" o:spid="_x0000_s1026" type="#_x0000_t64" style="position:absolute;margin-left:-71pt;margin-top:50pt;width:556.75pt;height:9.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" adj="4459,9485" fillcolor="#360" strokecolor="#cf9">
              <v:stroke startarrowwidth="narrow" startarrowlength="short" endarrowwidth="narrow" endarrowlength="short"/>
              <v:shadow on="t" color="#205867" offset="1pt"/>
              <v:textbox inset="2.53958mm,2.53958mm,2.53958mm,2.53958mm">
                <w:txbxContent>
                  <w:p w:rsidR="0060565D" w:rsidRDefault="0060565D">
                    <w:pPr>
                      <w:spacing w:after="0" w:line="240" w:lineRule="auto"/>
                      <w:textDirection w:val="btL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E6492"/>
    <w:multiLevelType w:val="multilevel"/>
    <w:tmpl w:val="026683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5D"/>
    <w:rsid w:val="00117520"/>
    <w:rsid w:val="0060565D"/>
    <w:rsid w:val="00733537"/>
    <w:rsid w:val="00AC5FD5"/>
    <w:rsid w:val="00D845B1"/>
    <w:rsid w:val="00DC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3541"/>
  <w15:docId w15:val="{7BD89B0A-EAF6-4C51-9498-F7CEDCCA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ytdato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itonetti.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ytdator.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MCEscandell</dc:creator>
  <cp:lastModifiedBy>MCEscandell</cp:lastModifiedBy>
  <cp:revision>2</cp:revision>
  <dcterms:created xsi:type="dcterms:W3CDTF">2019-01-17T13:23:00Z</dcterms:created>
  <dcterms:modified xsi:type="dcterms:W3CDTF">2019-01-17T13:23:00Z</dcterms:modified>
</cp:coreProperties>
</file>