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10050.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815"/>
        <w:tblGridChange w:id="0">
          <w:tblGrid>
            <w:gridCol w:w="5235"/>
            <w:gridCol w:w="4815"/>
          </w:tblGrid>
        </w:tblGridChange>
      </w:tblGrid>
      <w:tr>
        <w:trPr>
          <w:trHeight w:val="1120" w:hRule="atLeast"/>
        </w:trPr>
        <w:tc>
          <w:tcPr>
            <w:tcBorders>
              <w:top w:color="000000" w:space="0" w:sz="4" w:val="single"/>
              <w:left w:color="000000" w:space="0" w:sz="4" w:val="single"/>
              <w:bottom w:color="000000" w:space="0" w:sz="4" w:val="single"/>
              <w:right w:color="000000" w:space="0" w:sz="0" w:val="nil"/>
            </w:tcBorders>
            <w:shd w:fill="fbd4b4" w:val="clear"/>
          </w:tcPr>
          <w:p w:rsidR="00000000" w:rsidDel="00000000" w:rsidP="00000000" w:rsidRDefault="00000000" w:rsidRPr="00000000" w14:paraId="00000002">
            <w:pPr>
              <w:spacing w:after="0" w:line="240" w:lineRule="auto"/>
              <w:rPr>
                <w:b w:val="1"/>
              </w:rPr>
            </w:pPr>
            <w:r w:rsidDel="00000000" w:rsidR="00000000" w:rsidRPr="00000000">
              <w:rPr>
                <w:b w:val="1"/>
                <w:u w:val="single"/>
                <w:rtl w:val="0"/>
              </w:rPr>
              <w:t xml:space="preserve">Name of the Good Practice </w:t>
            </w:r>
            <w:r w:rsidDel="00000000" w:rsidR="00000000" w:rsidRPr="00000000">
              <w:rPr>
                <w:rtl w:val="0"/>
              </w:rPr>
              <w:t xml:space="preserve">(give a title of 5 to 6 words max)</w:t>
            </w:r>
            <w:r w:rsidDel="00000000" w:rsidR="00000000" w:rsidRPr="00000000">
              <w:rPr>
                <w:b w:val="1"/>
                <w:rtl w:val="0"/>
              </w:rPr>
              <w:t xml:space="preserve">: </w:t>
            </w:r>
          </w:p>
          <w:p w:rsidR="00000000" w:rsidDel="00000000" w:rsidP="00000000" w:rsidRDefault="00000000" w:rsidRPr="00000000" w14:paraId="00000003">
            <w:pPr>
              <w:spacing w:after="0" w:line="240" w:lineRule="auto"/>
              <w:rPr>
                <w:b w:val="1"/>
              </w:rPr>
            </w:pPr>
            <w:r w:rsidDel="00000000" w:rsidR="00000000" w:rsidRPr="00000000">
              <w:rPr>
                <w:b w:val="1"/>
                <w:rtl w:val="0"/>
              </w:rPr>
              <w:t xml:space="preserve">Reuse of computers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4">
            <w:pPr>
              <w:spacing w:after="0" w:line="240" w:lineRule="auto"/>
              <w:rPr>
                <w:b w:val="1"/>
              </w:rPr>
            </w:pPr>
            <w:r w:rsidDel="00000000" w:rsidR="00000000" w:rsidRPr="00000000">
              <w:rPr>
                <w:b w:val="1"/>
                <w:u w:val="single"/>
                <w:rtl w:val="0"/>
              </w:rPr>
              <w:t xml:space="preserve">Contact</w:t>
            </w:r>
            <w:r w:rsidDel="00000000" w:rsidR="00000000" w:rsidRPr="00000000">
              <w:rPr>
                <w:b w:val="1"/>
                <w:rtl w:val="0"/>
              </w:rPr>
              <w:t xml:space="preserve">: </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Name: Bytdator</w:t>
            </w:r>
          </w:p>
          <w:p w:rsidR="00000000" w:rsidDel="00000000" w:rsidP="00000000" w:rsidRDefault="00000000" w:rsidRPr="00000000" w14:paraId="00000006">
            <w:pPr>
              <w:spacing w:after="0" w:line="240" w:lineRule="auto"/>
              <w:rPr/>
            </w:pPr>
            <w:r w:rsidDel="00000000" w:rsidR="00000000" w:rsidRPr="00000000">
              <w:rPr>
                <w:b w:val="1"/>
                <w:rtl w:val="0"/>
              </w:rPr>
              <w:t xml:space="preserve">Address: Stockholm, Sweden</w:t>
            </w: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Web: </w:t>
            </w:r>
            <w:hyperlink r:id="rId6">
              <w:r w:rsidDel="00000000" w:rsidR="00000000" w:rsidRPr="00000000">
                <w:rPr>
                  <w:b w:val="1"/>
                  <w:color w:val="1155cc"/>
                  <w:u w:val="single"/>
                  <w:rtl w:val="0"/>
                </w:rPr>
                <w:t xml:space="preserve">www.taitonetti.fi</w:t>
              </w:r>
            </w:hyperlink>
            <w:r w:rsidDel="00000000" w:rsidR="00000000" w:rsidRPr="00000000">
              <w:rPr>
                <w:b w:val="1"/>
                <w:rtl w:val="0"/>
              </w:rPr>
              <w:t xml:space="preserve">,</w:t>
            </w:r>
            <w:hyperlink r:id="rId7">
              <w:r w:rsidDel="00000000" w:rsidR="00000000" w:rsidRPr="00000000">
                <w:rPr>
                  <w:b w:val="1"/>
                  <w:rtl w:val="0"/>
                </w:rPr>
                <w:t xml:space="preserve"> </w:t>
              </w:r>
            </w:hyperlink>
            <w:hyperlink r:id="rId8">
              <w:r w:rsidDel="00000000" w:rsidR="00000000" w:rsidRPr="00000000">
                <w:rPr>
                  <w:b w:val="1"/>
                  <w:color w:val="1155cc"/>
                  <w:u w:val="single"/>
                  <w:rtl w:val="0"/>
                </w:rPr>
                <w:t xml:space="preserve">www.bytdator.se</w:t>
              </w:r>
            </w:hyperlink>
            <w:r w:rsidDel="00000000" w:rsidR="00000000" w:rsidRPr="00000000">
              <w:rPr>
                <w:rtl w:val="0"/>
              </w:rPr>
            </w:r>
          </w:p>
        </w:tc>
      </w:tr>
      <w:tr>
        <w:trPr>
          <w:trHeight w:val="9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2"/>
              <w:tblW w:w="9834.0" w:type="dxa"/>
              <w:jc w:val="left"/>
              <w:tblLayout w:type="fixed"/>
              <w:tblLook w:val="0400"/>
            </w:tblPr>
            <w:tblGrid>
              <w:gridCol w:w="4917"/>
              <w:gridCol w:w="4917"/>
              <w:tblGridChange w:id="0">
                <w:tblGrid>
                  <w:gridCol w:w="4917"/>
                  <w:gridCol w:w="4917"/>
                </w:tblGrid>
              </w:tblGridChange>
            </w:tblGrid>
            <w:tr>
              <w:tc>
                <w:tcPr/>
                <w:p w:rsidR="00000000" w:rsidDel="00000000" w:rsidP="00000000" w:rsidRDefault="00000000" w:rsidRPr="00000000" w14:paraId="00000009">
                  <w:pPr>
                    <w:spacing w:after="0" w:line="240" w:lineRule="auto"/>
                    <w:rPr>
                      <w:b w:val="1"/>
                      <w:u w:val="single"/>
                    </w:rPr>
                  </w:pPr>
                  <w:r w:rsidDel="00000000" w:rsidR="00000000" w:rsidRPr="00000000">
                    <w:rPr>
                      <w:b w:val="1"/>
                      <w:u w:val="single"/>
                      <w:rtl w:val="0"/>
                    </w:rPr>
                    <w:t xml:space="preserve">Domain concerned:</w:t>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 Good Practice - General</w:t>
                  </w:r>
                </w:p>
                <w:p w:rsidR="00000000" w:rsidDel="00000000" w:rsidP="00000000" w:rsidRDefault="00000000" w:rsidRPr="00000000" w14:paraId="0000000B">
                  <w:pPr>
                    <w:spacing w:after="0" w:line="240" w:lineRule="auto"/>
                    <w:rPr>
                      <w:b w:val="1"/>
                    </w:rPr>
                  </w:pPr>
                  <w:r w:rsidDel="00000000" w:rsidR="00000000" w:rsidRPr="00000000">
                    <w:rPr>
                      <w:b w:val="1"/>
                      <w:rtl w:val="0"/>
                    </w:rPr>
                    <w:t xml:space="preserve">☐ Good Practice - Collection</w:t>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 Good Practice - Valorization</w:t>
                  </w:r>
                  <w:r w:rsidDel="00000000" w:rsidR="00000000" w:rsidRPr="00000000">
                    <w:rPr>
                      <w:rtl w:val="0"/>
                    </w:rPr>
                  </w:r>
                </w:p>
              </w:tc>
              <w:tc>
                <w:tcPr/>
                <w:p w:rsidR="00000000" w:rsidDel="00000000" w:rsidP="00000000" w:rsidRDefault="00000000" w:rsidRPr="00000000" w14:paraId="0000000D">
                  <w:pPr>
                    <w:spacing w:after="0" w:line="240" w:lineRule="auto"/>
                    <w:rPr>
                      <w:b w:val="1"/>
                    </w:rPr>
                  </w:pPr>
                  <w:r w:rsidDel="00000000" w:rsidR="00000000" w:rsidRPr="00000000">
                    <w:rPr>
                      <w:rtl w:val="0"/>
                    </w:rPr>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 Good Practice - Sale </w:t>
                  </w:r>
                </w:p>
                <w:p w:rsidR="00000000" w:rsidDel="00000000" w:rsidP="00000000" w:rsidRDefault="00000000" w:rsidRPr="00000000" w14:paraId="0000000F">
                  <w:pPr>
                    <w:spacing w:after="0" w:line="240" w:lineRule="auto"/>
                    <w:rPr>
                      <w:b w:val="1"/>
                      <w:u w:val="single"/>
                    </w:rPr>
                  </w:pPr>
                  <w:r w:rsidDel="00000000" w:rsidR="00000000" w:rsidRPr="00000000">
                    <w:rPr>
                      <w:b w:val="1"/>
                      <w:rtl w:val="0"/>
                    </w:rPr>
                    <w:t xml:space="preserve">☐ Good Practice - Sensitization</w:t>
                  </w:r>
                  <w:r w:rsidDel="00000000" w:rsidR="00000000" w:rsidRPr="00000000">
                    <w:rPr>
                      <w:rtl w:val="0"/>
                    </w:rPr>
                  </w:r>
                </w:p>
              </w:tc>
            </w:tr>
          </w:tbl>
          <w:p w:rsidR="00000000" w:rsidDel="00000000" w:rsidP="00000000" w:rsidRDefault="00000000" w:rsidRPr="00000000" w14:paraId="00000010">
            <w:pPr>
              <w:spacing w:after="0" w:line="240" w:lineRule="auto"/>
              <w:rPr>
                <w:b w:val="1"/>
              </w:rPr>
            </w:pPr>
            <w:r w:rsidDel="00000000" w:rsidR="00000000" w:rsidRPr="00000000">
              <w:rPr>
                <w:rtl w:val="0"/>
              </w:rPr>
            </w:r>
          </w:p>
        </w:tc>
      </w:tr>
      <w:tr>
        <w:trPr>
          <w:trHeight w:val="76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40" w:lineRule="auto"/>
              <w:rPr>
                <w:b w:val="1"/>
                <w:u w:val="single"/>
              </w:rPr>
            </w:pPr>
            <w:r w:rsidDel="00000000" w:rsidR="00000000" w:rsidRPr="00000000">
              <w:rPr>
                <w:b w:val="1"/>
                <w:u w:val="single"/>
                <w:rtl w:val="0"/>
              </w:rPr>
              <w:t xml:space="preserve">Implementation context (territory, starting point, ...)</w:t>
            </w:r>
          </w:p>
          <w:p w:rsidR="00000000" w:rsidDel="00000000" w:rsidP="00000000" w:rsidRDefault="00000000" w:rsidRPr="00000000" w14:paraId="00000013">
            <w:pPr>
              <w:spacing w:after="0" w:line="240" w:lineRule="auto"/>
              <w:rPr>
                <w:sz w:val="20"/>
                <w:szCs w:val="20"/>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40" w:lineRule="auto"/>
              <w:jc w:val="both"/>
              <w:rPr>
                <w:b w:val="1"/>
              </w:rPr>
            </w:pPr>
            <w:r w:rsidDel="00000000" w:rsidR="00000000" w:rsidRPr="00000000">
              <w:rPr>
                <w:b w:val="1"/>
                <w:u w:val="single"/>
                <w:rtl w:val="0"/>
              </w:rPr>
              <w:t xml:space="preserve">Practice, method of intervention and objectives of the approach</w:t>
            </w:r>
            <w:r w:rsidDel="00000000" w:rsidR="00000000" w:rsidRPr="00000000">
              <w:rPr>
                <w:rtl w:val="0"/>
              </w:rPr>
            </w:r>
          </w:p>
          <w:p w:rsidR="00000000" w:rsidDel="00000000" w:rsidP="00000000" w:rsidRDefault="00000000" w:rsidRPr="00000000" w14:paraId="00000016">
            <w:pPr>
              <w:spacing w:after="0" w:line="240" w:lineRule="auto"/>
              <w:jc w:val="both"/>
              <w:rPr>
                <w:sz w:val="18"/>
                <w:szCs w:val="18"/>
              </w:rPr>
            </w:pPr>
            <w:r w:rsidDel="00000000" w:rsidR="00000000" w:rsidRPr="00000000">
              <w:rPr>
                <w:sz w:val="18"/>
                <w:szCs w:val="18"/>
                <w:rtl w:val="0"/>
              </w:rPr>
              <w:t xml:space="preserve"> The manufacture of new computers consumes huge amounts of natural resources, such as rare earth metals. Taitonetti sells high-quality refurbished computers. For consumers and organisations, a good-quality used computer is a wise alternative to a newer one of possibly inferior quality.</w:t>
            </w:r>
          </w:p>
          <w:p w:rsidR="00000000" w:rsidDel="00000000" w:rsidP="00000000" w:rsidRDefault="00000000" w:rsidRPr="00000000" w14:paraId="00000017">
            <w:pPr>
              <w:spacing w:after="0" w:line="240" w:lineRule="auto"/>
              <w:jc w:val="both"/>
              <w:rPr>
                <w:b w:val="1"/>
                <w:sz w:val="18"/>
                <w:szCs w:val="18"/>
              </w:rPr>
            </w:pPr>
            <w:r w:rsidDel="00000000" w:rsidR="00000000" w:rsidRPr="00000000">
              <w:rPr>
                <w:b w:val="1"/>
                <w:sz w:val="18"/>
                <w:szCs w:val="18"/>
                <w:rtl w:val="0"/>
              </w:rPr>
              <w:t xml:space="preserve">Problem</w:t>
            </w:r>
          </w:p>
          <w:p w:rsidR="00000000" w:rsidDel="00000000" w:rsidP="00000000" w:rsidRDefault="00000000" w:rsidRPr="00000000" w14:paraId="00000018">
            <w:pPr>
              <w:spacing w:after="0" w:line="240" w:lineRule="auto"/>
              <w:jc w:val="both"/>
              <w:rPr>
                <w:sz w:val="18"/>
                <w:szCs w:val="18"/>
              </w:rPr>
            </w:pPr>
            <w:r w:rsidDel="00000000" w:rsidR="00000000" w:rsidRPr="00000000">
              <w:rPr>
                <w:sz w:val="18"/>
                <w:szCs w:val="18"/>
                <w:rtl w:val="0"/>
              </w:rPr>
              <w:t xml:space="preserve">The manufacturing process for a single computer consumes approximately 1,500 kg of natural resources, which also include valuable and rare metals. In addition, a lot of electricity is consumed to produce computers. The greatest ecological impact from manufacturing computers is caused during production, which is why it would be good to extend their useful life as long as possible. Cheap computers are often not durable and repairing them may be unprofitable. However, not everyone can afford to buy high-quality computers that have a longer useful life.</w:t>
            </w:r>
          </w:p>
          <w:p w:rsidR="00000000" w:rsidDel="00000000" w:rsidP="00000000" w:rsidRDefault="00000000" w:rsidRPr="00000000" w14:paraId="00000019">
            <w:pPr>
              <w:pStyle w:val="Heading2"/>
              <w:keepNext w:val="0"/>
              <w:keepLines w:val="0"/>
              <w:spacing w:line="240" w:lineRule="auto"/>
              <w:jc w:val="both"/>
              <w:rPr>
                <w:sz w:val="18"/>
                <w:szCs w:val="18"/>
              </w:rPr>
            </w:pPr>
            <w:bookmarkStart w:colFirst="0" w:colLast="0" w:name="_9l1qkd2c9ham" w:id="1"/>
            <w:bookmarkEnd w:id="1"/>
            <w:r w:rsidDel="00000000" w:rsidR="00000000" w:rsidRPr="00000000">
              <w:rPr>
                <w:sz w:val="18"/>
                <w:szCs w:val="18"/>
                <w:rtl w:val="0"/>
              </w:rPr>
              <w:t xml:space="preserve">Solution: high-quality preowned computers</w:t>
            </w:r>
          </w:p>
          <w:p w:rsidR="00000000" w:rsidDel="00000000" w:rsidP="00000000" w:rsidRDefault="00000000" w:rsidRPr="00000000" w14:paraId="0000001A">
            <w:pPr>
              <w:spacing w:after="0" w:line="240" w:lineRule="auto"/>
              <w:jc w:val="both"/>
              <w:rPr>
                <w:sz w:val="18"/>
                <w:szCs w:val="18"/>
              </w:rPr>
            </w:pPr>
            <w:r w:rsidDel="00000000" w:rsidR="00000000" w:rsidRPr="00000000">
              <w:rPr>
                <w:sz w:val="18"/>
                <w:szCs w:val="18"/>
                <w:rtl w:val="0"/>
              </w:rPr>
              <w:t xml:space="preserve">Taitonetti buys high-quality leased computers used by companies and sells them to consumers and companies after inspecting and servicing them. Sales occurs both through the brick-and-mortar store and online. The company also services customers’ computers and updates older computers to make them more powerful and suitable for use in gaming. By extending the useful life of a laptop computer from three years to seven years, for example, the carbon footprint of the unit can be reduced by up to 50% during its life cycle.</w:t>
            </w:r>
          </w:p>
          <w:p w:rsidR="00000000" w:rsidDel="00000000" w:rsidP="00000000" w:rsidRDefault="00000000" w:rsidRPr="00000000" w14:paraId="0000001B">
            <w:pPr>
              <w:pStyle w:val="Heading2"/>
              <w:keepNext w:val="0"/>
              <w:keepLines w:val="0"/>
              <w:spacing w:line="240" w:lineRule="auto"/>
              <w:jc w:val="both"/>
              <w:rPr>
                <w:sz w:val="18"/>
                <w:szCs w:val="18"/>
              </w:rPr>
            </w:pPr>
            <w:bookmarkStart w:colFirst="0" w:colLast="0" w:name="_zffr19yuhmjp" w:id="2"/>
            <w:bookmarkEnd w:id="2"/>
            <w:r w:rsidDel="00000000" w:rsidR="00000000" w:rsidRPr="00000000">
              <w:rPr>
                <w:sz w:val="18"/>
                <w:szCs w:val="18"/>
                <w:rtl w:val="0"/>
              </w:rPr>
              <w:t xml:space="preserve">Revenue logic and benefits to Taitonetti</w:t>
            </w:r>
          </w:p>
          <w:p w:rsidR="00000000" w:rsidDel="00000000" w:rsidP="00000000" w:rsidRDefault="00000000" w:rsidRPr="00000000" w14:paraId="0000001C">
            <w:pPr>
              <w:spacing w:after="0" w:line="240" w:lineRule="auto"/>
              <w:jc w:val="both"/>
              <w:rPr>
                <w:sz w:val="18"/>
                <w:szCs w:val="18"/>
              </w:rPr>
            </w:pPr>
            <w:r w:rsidDel="00000000" w:rsidR="00000000" w:rsidRPr="00000000">
              <w:rPr>
                <w:sz w:val="18"/>
                <w:szCs w:val="18"/>
                <w:rtl w:val="0"/>
              </w:rPr>
              <w:t xml:space="preserve">Taitonetti’s revenue logic is based on servicing customers’ computers and the profits from selling computers, which is used to cover the acquisition and service costs of the preowned units. The computers in poor condition can also be recycled for replacement parts, which makes servicing more profitable than repairing computers using new parts. In addition, the company buys large volumes of units, which allows for more efficient large-scale operations and mass production.</w:t>
            </w:r>
          </w:p>
          <w:p w:rsidR="00000000" w:rsidDel="00000000" w:rsidP="00000000" w:rsidRDefault="00000000" w:rsidRPr="00000000" w14:paraId="0000001D">
            <w:pPr>
              <w:pStyle w:val="Heading2"/>
              <w:keepNext w:val="0"/>
              <w:keepLines w:val="0"/>
              <w:spacing w:line="240" w:lineRule="auto"/>
              <w:jc w:val="both"/>
              <w:rPr>
                <w:sz w:val="18"/>
                <w:szCs w:val="18"/>
              </w:rPr>
            </w:pPr>
            <w:bookmarkStart w:colFirst="0" w:colLast="0" w:name="_f89d0pe6nhd" w:id="3"/>
            <w:bookmarkEnd w:id="3"/>
            <w:r w:rsidDel="00000000" w:rsidR="00000000" w:rsidRPr="00000000">
              <w:rPr>
                <w:sz w:val="18"/>
                <w:szCs w:val="18"/>
                <w:rtl w:val="0"/>
              </w:rPr>
              <w:t xml:space="preserve">Benefits to customers and end users</w:t>
            </w:r>
          </w:p>
          <w:p w:rsidR="00000000" w:rsidDel="00000000" w:rsidP="00000000" w:rsidRDefault="00000000" w:rsidRPr="00000000" w14:paraId="0000001E">
            <w:pPr>
              <w:spacing w:after="0" w:line="240" w:lineRule="auto"/>
              <w:jc w:val="both"/>
              <w:rPr>
                <w:sz w:val="18"/>
                <w:szCs w:val="18"/>
              </w:rPr>
            </w:pPr>
            <w:r w:rsidDel="00000000" w:rsidR="00000000" w:rsidRPr="00000000">
              <w:rPr>
                <w:sz w:val="18"/>
                <w:szCs w:val="18"/>
                <w:rtl w:val="0"/>
              </w:rPr>
              <w:t xml:space="preserve">The customer receives a high-quality preowned business computer at a more affordable price than buying a new one. A warranty is also issued for preowned computers purchased from Taitonetti. In addition, the customer can be compensated for an old computer when buying a computer that has been repaired by Taitonetti. The customer is also acting in a more ecological manner when buying a preowned computer as opposed to a new one.</w:t>
            </w:r>
          </w:p>
          <w:p w:rsidR="00000000" w:rsidDel="00000000" w:rsidP="00000000" w:rsidRDefault="00000000" w:rsidRPr="00000000" w14:paraId="0000001F">
            <w:pPr>
              <w:spacing w:after="0" w:line="240" w:lineRule="auto"/>
              <w:jc w:val="both"/>
              <w:rPr>
                <w:sz w:val="18"/>
                <w:szCs w:val="18"/>
              </w:rPr>
            </w:pPr>
            <w:r w:rsidDel="00000000" w:rsidR="00000000" w:rsidRPr="00000000">
              <w:rPr>
                <w:rtl w:val="0"/>
              </w:rPr>
            </w:r>
          </w:p>
          <w:tbl>
            <w:tblPr>
              <w:tblStyle w:val="Table3"/>
              <w:tblW w:w="9834.0" w:type="dxa"/>
              <w:jc w:val="left"/>
              <w:tblLayout w:type="fixed"/>
              <w:tblLook w:val="0400"/>
            </w:tblPr>
            <w:tblGrid>
              <w:gridCol w:w="4917"/>
              <w:gridCol w:w="4917"/>
              <w:tblGridChange w:id="0">
                <w:tblGrid>
                  <w:gridCol w:w="4917"/>
                  <w:gridCol w:w="4917"/>
                </w:tblGrid>
              </w:tblGridChange>
            </w:tblGrid>
            <w:tr>
              <w:tc>
                <w:tcPr/>
                <w:p w:rsidR="00000000" w:rsidDel="00000000" w:rsidP="00000000" w:rsidRDefault="00000000" w:rsidRPr="00000000" w14:paraId="00000020">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1">
                  <w:pPr>
                    <w:spacing w:after="0" w:line="240" w:lineRule="auto"/>
                    <w:jc w:val="both"/>
                    <w:rPr>
                      <w:b w:val="1"/>
                      <w:sz w:val="18"/>
                      <w:szCs w:val="18"/>
                    </w:rPr>
                  </w:pPr>
                  <w:r w:rsidDel="00000000" w:rsidR="00000000" w:rsidRPr="00000000">
                    <w:rPr>
                      <w:rtl w:val="0"/>
                    </w:rPr>
                  </w:r>
                </w:p>
              </w:tc>
              <w:tc>
                <w:tcPr/>
                <w:p w:rsidR="00000000" w:rsidDel="00000000" w:rsidP="00000000" w:rsidRDefault="00000000" w:rsidRPr="00000000" w14:paraId="00000022">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3">
                  <w:pPr>
                    <w:spacing w:after="0" w:line="240" w:lineRule="auto"/>
                    <w:jc w:val="both"/>
                    <w:rPr>
                      <w:b w:val="1"/>
                      <w:sz w:val="18"/>
                      <w:szCs w:val="18"/>
                    </w:rPr>
                  </w:pPr>
                  <w:r w:rsidDel="00000000" w:rsidR="00000000" w:rsidRPr="00000000">
                    <w:rPr>
                      <w:rtl w:val="0"/>
                    </w:rPr>
                  </w:r>
                </w:p>
              </w:tc>
            </w:tr>
          </w:tbl>
          <w:p w:rsidR="00000000" w:rsidDel="00000000" w:rsidP="00000000" w:rsidRDefault="00000000" w:rsidRPr="00000000" w14:paraId="00000024">
            <w:pPr>
              <w:spacing w:after="0" w:line="240" w:lineRule="auto"/>
              <w:jc w:val="both"/>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b w:val="1"/>
                <w:u w:val="single"/>
              </w:rPr>
            </w:pPr>
            <w:r w:rsidDel="00000000" w:rsidR="00000000" w:rsidRPr="00000000">
              <w:rPr>
                <w:b w:val="1"/>
                <w:u w:val="single"/>
                <w:rtl w:val="0"/>
              </w:rPr>
              <w:t xml:space="preserve">Results (impacts on the public, the territory, ...)</w:t>
            </w:r>
          </w:p>
          <w:p w:rsidR="00000000" w:rsidDel="00000000" w:rsidP="00000000" w:rsidRDefault="00000000" w:rsidRPr="00000000" w14:paraId="00000027">
            <w:pPr>
              <w:spacing w:after="0" w:line="240" w:lineRule="auto"/>
              <w:rPr/>
            </w:pPr>
            <w:r w:rsidDel="00000000" w:rsidR="00000000" w:rsidRPr="00000000">
              <w:rPr>
                <w:rtl w:val="0"/>
              </w:rPr>
              <w:t xml:space="preserve">Reuse of components and computers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240" w:lineRule="auto"/>
              <w:rPr>
                <w:b w:val="1"/>
                <w:u w:val="single"/>
              </w:rPr>
            </w:pPr>
            <w:r w:rsidDel="00000000" w:rsidR="00000000" w:rsidRPr="00000000">
              <w:rPr>
                <w:b w:val="1"/>
                <w:u w:val="single"/>
                <w:rtl w:val="0"/>
              </w:rPr>
              <w:t xml:space="preserve">Target audience:</w:t>
            </w:r>
          </w:p>
          <w:p w:rsidR="00000000" w:rsidDel="00000000" w:rsidP="00000000" w:rsidRDefault="00000000" w:rsidRPr="00000000" w14:paraId="00000029">
            <w:pPr>
              <w:spacing w:after="0" w:line="240" w:lineRule="auto"/>
              <w:rPr/>
            </w:pPr>
            <w:r w:rsidDel="00000000" w:rsidR="00000000" w:rsidRPr="00000000">
              <w:rPr>
                <w:rtl w:val="0"/>
              </w:rPr>
              <w:t xml:space="preserve">Company - private consumers</w:t>
            </w:r>
          </w:p>
        </w:tc>
      </w:tr>
      <w:tr>
        <w:trPr>
          <w:trHeight w:val="7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rPr>
                <w:b w:val="1"/>
                <w:u w:val="single"/>
              </w:rPr>
            </w:pPr>
            <w:r w:rsidDel="00000000" w:rsidR="00000000" w:rsidRPr="00000000">
              <w:rPr>
                <w:b w:val="1"/>
                <w:u w:val="single"/>
                <w:rtl w:val="0"/>
              </w:rPr>
              <w:t xml:space="preserve">Perspective of use and dissemination:</w:t>
            </w:r>
          </w:p>
          <w:p w:rsidR="00000000" w:rsidDel="00000000" w:rsidP="00000000" w:rsidRDefault="00000000" w:rsidRPr="00000000" w14:paraId="0000002B">
            <w:pPr>
              <w:spacing w:after="0" w:line="240" w:lineRule="auto"/>
              <w:rPr/>
            </w:pPr>
            <w:r w:rsidDel="00000000" w:rsidR="00000000" w:rsidRPr="00000000">
              <w:rPr>
                <w:rtl w:val="0"/>
              </w:rPr>
              <w:t xml:space="preserve">Circular economics in the computer business. Reuse of components and longer life for technical products</w:t>
            </w:r>
          </w:p>
        </w:tc>
      </w:tr>
      <w:tr>
        <w:trPr>
          <w:trHeight w:val="1260" w:hRule="atLeast"/>
        </w:trPr>
        <w:tc>
          <w:tcPr>
            <w:tcBorders>
              <w:top w:color="000000" w:space="0" w:sz="4" w:val="single"/>
              <w:left w:color="000000" w:space="0" w:sz="4" w:val="single"/>
              <w:bottom w:color="000000" w:space="0" w:sz="4" w:val="single"/>
              <w:right w:color="000000" w:space="0" w:sz="0" w:val="nil"/>
            </w:tcBorders>
            <w:shd w:fill="fbd4b4" w:val="clear"/>
          </w:tcPr>
          <w:p w:rsidR="00000000" w:rsidDel="00000000" w:rsidP="00000000" w:rsidRDefault="00000000" w:rsidRPr="00000000" w14:paraId="0000002D">
            <w:pPr>
              <w:spacing w:after="0"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E">
            <w:pPr>
              <w:spacing w:after="0" w:line="240" w:lineRule="auto"/>
              <w:rPr>
                <w:b w:val="1"/>
              </w:rPr>
            </w:pPr>
            <w:r w:rsidDel="00000000" w:rsidR="00000000" w:rsidRPr="00000000">
              <w:rPr>
                <w:rtl w:val="0"/>
              </w:rPr>
            </w:r>
          </w:p>
        </w:tc>
      </w:tr>
      <w:tr>
        <w:trPr>
          <w:trHeight w:val="96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spacing w:after="0" w:line="240" w:lineRule="auto"/>
              <w:rPr>
                <w:b w:val="1"/>
              </w:rPr>
            </w:pPr>
            <w:r w:rsidDel="00000000" w:rsidR="00000000" w:rsidRPr="00000000">
              <w:rPr>
                <w:rtl w:val="0"/>
              </w:rPr>
            </w:r>
          </w:p>
        </w:tc>
      </w:tr>
      <w:tr>
        <w:trPr>
          <w:trHeight w:val="760" w:hRule="atLeast"/>
        </w:trPr>
        <w:tc>
          <w:tcPr>
            <w:gridSpan w:val="2"/>
            <w:tcBorders>
              <w:top w:color="000000" w:space="0" w:sz="4" w:val="single"/>
            </w:tcBorders>
          </w:tcPr>
          <w:p w:rsidR="00000000" w:rsidDel="00000000" w:rsidP="00000000" w:rsidRDefault="00000000" w:rsidRPr="00000000" w14:paraId="00000031">
            <w:pPr>
              <w:spacing w:after="0" w:line="240" w:lineRule="auto"/>
              <w:rPr/>
            </w:pPr>
            <w:r w:rsidDel="00000000" w:rsidR="00000000" w:rsidRPr="00000000">
              <w:rPr>
                <w:rtl w:val="0"/>
              </w:rPr>
            </w:r>
          </w:p>
        </w:tc>
      </w:tr>
      <w:tr>
        <w:tc>
          <w:tcPr>
            <w:gridSpan w:val="2"/>
          </w:tcPr>
          <w:p w:rsidR="00000000" w:rsidDel="00000000" w:rsidP="00000000" w:rsidRDefault="00000000" w:rsidRPr="00000000" w14:paraId="00000033">
            <w:pPr>
              <w:numPr>
                <w:ilvl w:val="0"/>
                <w:numId w:val="1"/>
              </w:numPr>
              <w:spacing w:after="0" w:line="240" w:lineRule="auto"/>
              <w:ind w:left="720" w:hanging="360"/>
              <w:jc w:val="both"/>
              <w:rPr>
                <w:b w:val="1"/>
              </w:rPr>
            </w:pPr>
            <w:r w:rsidDel="00000000" w:rsidR="00000000" w:rsidRPr="00000000">
              <w:rPr>
                <w:rtl w:val="0"/>
              </w:rPr>
            </w:r>
          </w:p>
        </w:tc>
      </w:tr>
      <w:tr>
        <w:tc>
          <w:tcPr/>
          <w:p w:rsidR="00000000" w:rsidDel="00000000" w:rsidP="00000000" w:rsidRDefault="00000000" w:rsidRPr="00000000" w14:paraId="00000035">
            <w:pPr>
              <w:spacing w:after="0" w:line="240" w:lineRule="auto"/>
              <w:jc w:val="both"/>
              <w:rPr>
                <w:i w:val="1"/>
              </w:rPr>
            </w:pPr>
            <w:r w:rsidDel="00000000" w:rsidR="00000000" w:rsidRPr="00000000">
              <w:rPr>
                <w:rtl w:val="0"/>
              </w:rPr>
            </w:r>
          </w:p>
        </w:tc>
        <w:tc>
          <w:tcPr/>
          <w:p w:rsidR="00000000" w:rsidDel="00000000" w:rsidP="00000000" w:rsidRDefault="00000000" w:rsidRPr="00000000" w14:paraId="00000036">
            <w:pPr>
              <w:spacing w:after="0" w:line="240" w:lineRule="auto"/>
              <w:rPr/>
            </w:pPr>
            <w:r w:rsidDel="00000000" w:rsidR="00000000" w:rsidRPr="00000000">
              <w:rPr>
                <w:rtl w:val="0"/>
              </w:rPr>
            </w:r>
          </w:p>
        </w:tc>
      </w:tr>
      <w:tr>
        <w:trPr>
          <w:trHeight w:val="1040" w:hRule="atLeast"/>
        </w:trPr>
        <w:tc>
          <w:tcPr>
            <w:gridSpan w:val="2"/>
          </w:tcPr>
          <w:p w:rsidR="00000000" w:rsidDel="00000000" w:rsidP="00000000" w:rsidRDefault="00000000" w:rsidRPr="00000000" w14:paraId="00000037">
            <w:pPr>
              <w:spacing w:after="0" w:line="240" w:lineRule="auto"/>
              <w:rPr>
                <w:b w:val="1"/>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9" w:type="default"/>
      <w:footerReference r:id="rId10"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 cy="792163"/>
          <wp:effectExtent b="0" l="0" r="0" t="0"/>
          <wp:docPr id="3"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612775" cy="79216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03263" cy="433388"/>
          <wp:effectExtent b="0" l="0" r="0" t="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03263" cy="4333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9338" cy="404812"/>
          <wp:effectExtent b="0" l="0" r="0" t="0"/>
          <wp:docPr id="5"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049338" cy="4048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68313" cy="444500"/>
          <wp:effectExtent b="0" l="0" r="0" t="0"/>
          <wp:docPr id="8"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468313" cy="4445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1688" cy="403226"/>
          <wp:effectExtent b="0" l="0" r="0" t="0"/>
          <wp:docPr id="7"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801688" cy="40322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2325" cy="369888"/>
          <wp:effectExtent b="0" l="0" r="0" t="0"/>
          <wp:docPr descr="asev_logo" id="10" name="image1.jpg"/>
          <a:graphic>
            <a:graphicData uri="http://schemas.openxmlformats.org/drawingml/2006/picture">
              <pic:pic>
                <pic:nvPicPr>
                  <pic:cNvPr descr="asev_logo" id="0" name="image1.jpg"/>
                  <pic:cNvPicPr preferRelativeResize="0"/>
                </pic:nvPicPr>
                <pic:blipFill>
                  <a:blip r:embed="rId6"/>
                  <a:srcRect b="0" l="0" r="0" t="0"/>
                  <a:stretch>
                    <a:fillRect/>
                  </a:stretch>
                </pic:blipFill>
                <pic:spPr>
                  <a:xfrm>
                    <a:off x="0" y="0"/>
                    <a:ext cx="822325" cy="3698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06488" cy="442913"/>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06488" cy="4429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0713" cy="70643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90713" cy="70643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33562" cy="604837"/>
          <wp:effectExtent b="0" l="0" r="0" t="0"/>
          <wp:docPr id="4"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833562" cy="60483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
              <a:graphic>
                <a:graphicData uri="http://schemas.microsoft.com/office/word/2010/wordprocessingShape">
                  <wps:wsp>
                    <wps:cNvSpPr/>
                    <wps:cNvPr id="2" name="Shape 2"/>
                    <wps:spPr>
                      <a:xfrm>
                        <a:off x="1815400" y="3722057"/>
                        <a:ext cx="7061200" cy="115887"/>
                      </a:xfrm>
                      <a:prstGeom prst="wave">
                        <a:avLst>
                          <a:gd fmla="val 20644" name="adj1"/>
                          <a:gd fmla="val -6088" name="adj2"/>
                        </a:avLst>
                      </a:prstGeom>
                      <a:solidFill>
                        <a:srgbClr val="336600"/>
                      </a:solidFill>
                      <a:ln cap="flat" cmpd="sng" w="9525">
                        <a:solidFill>
                          <a:srgbClr val="CCFF99"/>
                        </a:solidFill>
                        <a:prstDash val="solid"/>
                        <a:round/>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7070725" cy="12541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taitonetti.fi/" TargetMode="External"/><Relationship Id="rId7" Type="http://schemas.openxmlformats.org/officeDocument/2006/relationships/hyperlink" Target="http://www.bytdator.se/" TargetMode="External"/><Relationship Id="rId8" Type="http://schemas.openxmlformats.org/officeDocument/2006/relationships/hyperlink" Target="http://www.bytdator.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2.png"/><Relationship Id="rId5" Type="http://schemas.openxmlformats.org/officeDocument/2006/relationships/image" Target="media/image8.png"/><Relationship Id="rId6" Type="http://schemas.openxmlformats.org/officeDocument/2006/relationships/image" Target="media/image1.jpg"/><Relationship Id="rId7"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