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FC" w:rsidRDefault="00FF6565">
      <w:pPr>
        <w:rPr>
          <w:sz w:val="20"/>
        </w:rPr>
      </w:pPr>
      <w:r>
        <w:pict>
          <v:group id="_x0000_s1031" style="position:absolute;margin-left:68.2pt;margin-top:236.3pt;width:11.9pt;height:25.25pt;z-index:-4384;mso-position-horizontal-relative:page;mso-position-vertical-relative:page" coordorigin="1364,4726" coordsize="238,505">
            <v:rect id="_x0000_s1034" style="position:absolute;left:1370;top:4733;width:224;height:224" filled="f" strokeweight=".72pt"/>
            <v:shape id="_x0000_s1033" style="position:absolute;left:1368;top:4730;width:228;height:229" coordorigin="1368,4731" coordsize="228,229" o:spt="100" adj="0,,0" path="m1368,4731r228,228m1596,4731r-228,228e" filled="f" strokeweight=".48pt">
              <v:stroke joinstyle="round"/>
              <v:formulas/>
              <v:path arrowok="t" o:connecttype="segments"/>
            </v:shape>
            <v:rect id="_x0000_s1032" style="position:absolute;left:1370;top:5000;width:224;height:224" filled="f" strokeweight=".72pt"/>
            <w10:wrap anchorx="page" anchory="page"/>
          </v:group>
        </w:pict>
      </w:r>
      <w:r>
        <w:pict>
          <v:group id="_x0000_s1026" style="position:absolute;margin-left:314.1pt;margin-top:236.3pt;width:11.95pt;height:25.25pt;z-index:-4360;mso-position-horizontal-relative:page;mso-position-vertical-relative:page" coordorigin="6282,4726" coordsize="239,505">
            <v:rect id="_x0000_s1030" style="position:absolute;left:6289;top:4733;width:224;height:224" filled="f" strokeweight=".72pt"/>
            <v:shape id="_x0000_s1029" style="position:absolute;left:6286;top:4730;width:229;height:229" coordorigin="6287,4731" coordsize="229,229" o:spt="100" adj="0,,0" path="m6287,4731r228,228m6515,4731r-228,228e" filled="f" strokeweight=".48pt">
              <v:stroke joinstyle="round"/>
              <v:formulas/>
              <v:path arrowok="t" o:connecttype="segments"/>
            </v:shape>
            <v:rect id="_x0000_s1028" style="position:absolute;left:6289;top:5000;width:224;height:224" filled="f" strokeweight=".72pt"/>
            <v:shape id="_x0000_s1027" style="position:absolute;left:6286;top:4997;width:229;height:228" coordorigin="6287,4998" coordsize="229,228" o:spt="100" adj="0,,0" path="m6287,4998r228,228m6515,4998r-228,228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B43FC" w:rsidRDefault="00EB43FC">
      <w:pPr>
        <w:rPr>
          <w:sz w:val="20"/>
        </w:rPr>
      </w:pPr>
    </w:p>
    <w:p w:rsidR="00EB43FC" w:rsidRDefault="00EB43FC">
      <w:pPr>
        <w:spacing w:before="6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818"/>
      </w:tblGrid>
      <w:tr w:rsidR="00EB43FC">
        <w:trPr>
          <w:trHeight w:val="1845"/>
        </w:trPr>
        <w:tc>
          <w:tcPr>
            <w:tcW w:w="5248" w:type="dxa"/>
            <w:tcBorders>
              <w:right w:val="nil"/>
            </w:tcBorders>
            <w:shd w:val="clear" w:color="auto" w:fill="FAD3B4"/>
          </w:tcPr>
          <w:p w:rsidR="00EB43FC" w:rsidRPr="005751D4" w:rsidRDefault="00801C4D">
            <w:pPr>
              <w:pStyle w:val="TableParagraph"/>
              <w:spacing w:line="265" w:lineRule="exact"/>
              <w:ind w:left="107"/>
              <w:rPr>
                <w:rFonts w:ascii="Calibri"/>
                <w:b/>
                <w:lang w:val="fr-FR"/>
              </w:rPr>
            </w:pPr>
            <w:r w:rsidRPr="005751D4">
              <w:rPr>
                <w:rFonts w:ascii="Calibri"/>
                <w:b/>
                <w:u w:val="single"/>
                <w:lang w:val="fr-FR"/>
              </w:rPr>
              <w:t>Intitul</w:t>
            </w:r>
            <w:r w:rsidRPr="005751D4">
              <w:rPr>
                <w:rFonts w:ascii="Calibri"/>
                <w:b/>
                <w:u w:val="single"/>
                <w:lang w:val="fr-FR"/>
              </w:rPr>
              <w:t>é</w:t>
            </w:r>
            <w:r w:rsidRPr="005751D4">
              <w:rPr>
                <w:rFonts w:ascii="Calibri"/>
                <w:b/>
                <w:u w:val="single"/>
                <w:lang w:val="fr-FR"/>
              </w:rPr>
              <w:t xml:space="preserve"> de la bonne </w:t>
            </w:r>
            <w:proofErr w:type="gramStart"/>
            <w:r w:rsidRPr="005751D4">
              <w:rPr>
                <w:rFonts w:ascii="Calibri"/>
                <w:b/>
                <w:u w:val="single"/>
                <w:lang w:val="fr-FR"/>
              </w:rPr>
              <w:t>pratique</w:t>
            </w:r>
            <w:r w:rsidR="00087CA1" w:rsidRPr="005751D4">
              <w:rPr>
                <w:rFonts w:ascii="Calibri"/>
                <w:b/>
                <w:lang w:val="fr-FR"/>
              </w:rPr>
              <w:t>:</w:t>
            </w:r>
            <w:proofErr w:type="gramEnd"/>
          </w:p>
          <w:p w:rsidR="00EB43FC" w:rsidRDefault="00087CA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Calibri"/>
              </w:rPr>
              <w:t xml:space="preserve">SCART </w:t>
            </w:r>
            <w:r>
              <w:rPr>
                <w:sz w:val="24"/>
              </w:rPr>
              <w:t>(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www.scartline.it</w:t>
              </w:r>
            </w:hyperlink>
            <w:r>
              <w:rPr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4818" w:type="dxa"/>
            <w:tcBorders>
              <w:left w:val="nil"/>
            </w:tcBorders>
          </w:tcPr>
          <w:p w:rsidR="00EB43FC" w:rsidRDefault="00087CA1">
            <w:pPr>
              <w:pStyle w:val="TableParagraph"/>
              <w:spacing w:line="265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Contact</w:t>
            </w:r>
            <w:r>
              <w:rPr>
                <w:rFonts w:ascii="Calibri"/>
                <w:b/>
              </w:rPr>
              <w:t>:</w:t>
            </w:r>
          </w:p>
          <w:p w:rsidR="00EB43FC" w:rsidRDefault="00EB43FC">
            <w:pPr>
              <w:pStyle w:val="TableParagraph"/>
              <w:spacing w:before="6"/>
              <w:rPr>
                <w:sz w:val="17"/>
              </w:rPr>
            </w:pPr>
          </w:p>
          <w:p w:rsidR="00EB43FC" w:rsidRDefault="00087CA1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  <w:b/>
              </w:rPr>
              <w:t>N</w:t>
            </w:r>
            <w:r w:rsidR="00801C4D"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</w:rPr>
              <w:t>m:</w:t>
            </w:r>
            <w:r>
              <w:rPr>
                <w:rFonts w:ascii="Calibri"/>
                <w:b/>
                <w:color w:val="5B9BD4"/>
              </w:rPr>
              <w:t xml:space="preserve"> </w:t>
            </w:r>
            <w:r>
              <w:rPr>
                <w:rFonts w:ascii="Calibri"/>
              </w:rPr>
              <w:t>Waste Recycling S.p.A.</w:t>
            </w:r>
          </w:p>
          <w:p w:rsidR="00EB43FC" w:rsidRDefault="00087CA1">
            <w:pPr>
              <w:pStyle w:val="TableParagraph"/>
              <w:spacing w:before="20"/>
              <w:ind w:left="112" w:right="6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Adress</w:t>
            </w:r>
            <w:r w:rsidR="00801C4D">
              <w:rPr>
                <w:rFonts w:ascii="Calibri" w:hAnsi="Calibri"/>
                <w:b/>
              </w:rPr>
              <w:t>e</w:t>
            </w:r>
            <w:proofErr w:type="spellEnd"/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Via </w:t>
            </w:r>
            <w:proofErr w:type="spellStart"/>
            <w:r>
              <w:rPr>
                <w:rFonts w:ascii="Calibri" w:hAnsi="Calibri"/>
              </w:rPr>
              <w:t>Lancioni</w:t>
            </w:r>
            <w:proofErr w:type="spellEnd"/>
            <w:r>
              <w:rPr>
                <w:rFonts w:ascii="Calibri" w:hAnsi="Calibri"/>
              </w:rPr>
              <w:t xml:space="preserve">, 2 – 56029 Santa Croce </w:t>
            </w:r>
            <w:proofErr w:type="spellStart"/>
            <w:r>
              <w:rPr>
                <w:rFonts w:ascii="Calibri" w:hAnsi="Calibri"/>
              </w:rPr>
              <w:t>sull’Arn</w:t>
            </w:r>
            <w:r w:rsidR="00801C4D">
              <w:rPr>
                <w:rFonts w:ascii="Calibri" w:hAnsi="Calibri"/>
              </w:rPr>
              <w:t>z</w:t>
            </w:r>
            <w:r>
              <w:rPr>
                <w:rFonts w:ascii="Calibri" w:hAnsi="Calibri"/>
              </w:rPr>
              <w:t>o</w:t>
            </w:r>
            <w:proofErr w:type="spellEnd"/>
            <w:r>
              <w:rPr>
                <w:rFonts w:ascii="Calibri" w:hAnsi="Calibri"/>
              </w:rPr>
              <w:t xml:space="preserve"> (PI)</w:t>
            </w:r>
          </w:p>
          <w:p w:rsidR="00EB43FC" w:rsidRDefault="00087CA1">
            <w:pPr>
              <w:pStyle w:val="TableParagraph"/>
              <w:ind w:left="112"/>
              <w:rPr>
                <w:sz w:val="24"/>
              </w:rPr>
            </w:pPr>
            <w:r>
              <w:rPr>
                <w:rFonts w:ascii="Calibri"/>
                <w:b/>
              </w:rPr>
              <w:t xml:space="preserve">Mail: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info@w-r.it</w:t>
              </w:r>
            </w:hyperlink>
          </w:p>
        </w:tc>
      </w:tr>
      <w:tr w:rsidR="00EB43FC">
        <w:trPr>
          <w:trHeight w:val="1344"/>
        </w:trPr>
        <w:tc>
          <w:tcPr>
            <w:tcW w:w="10066" w:type="dxa"/>
            <w:gridSpan w:val="2"/>
          </w:tcPr>
          <w:p w:rsidR="00EB43FC" w:rsidRPr="00F93CFE" w:rsidRDefault="00087CA1">
            <w:pPr>
              <w:pStyle w:val="TableParagraph"/>
              <w:spacing w:line="268" w:lineRule="exact"/>
              <w:ind w:left="216"/>
              <w:rPr>
                <w:rFonts w:ascii="Calibri"/>
                <w:b/>
                <w:lang w:val="fr-FR"/>
              </w:rPr>
            </w:pPr>
            <w:r w:rsidRPr="00F93CFE">
              <w:rPr>
                <w:rFonts w:ascii="Calibri"/>
                <w:b/>
                <w:u w:val="single"/>
                <w:lang w:val="fr-FR"/>
              </w:rPr>
              <w:t>Domain</w:t>
            </w:r>
            <w:r w:rsidR="00801C4D" w:rsidRPr="00F93CFE">
              <w:rPr>
                <w:rFonts w:ascii="Calibri"/>
                <w:b/>
                <w:u w:val="single"/>
                <w:lang w:val="fr-FR"/>
              </w:rPr>
              <w:t>e</w:t>
            </w:r>
            <w:r w:rsidRPr="00F93CFE">
              <w:rPr>
                <w:rFonts w:ascii="Calibri"/>
                <w:b/>
                <w:u w:val="single"/>
                <w:lang w:val="fr-FR"/>
              </w:rPr>
              <w:t xml:space="preserve"> </w:t>
            </w:r>
            <w:proofErr w:type="gramStart"/>
            <w:r w:rsidRPr="00F93CFE">
              <w:rPr>
                <w:rFonts w:ascii="Calibri"/>
                <w:b/>
                <w:u w:val="single"/>
                <w:lang w:val="fr-FR"/>
              </w:rPr>
              <w:t>concern</w:t>
            </w:r>
            <w:r w:rsidR="00801C4D" w:rsidRPr="00F93CFE">
              <w:rPr>
                <w:rFonts w:ascii="Calibri"/>
                <w:b/>
                <w:u w:val="single"/>
                <w:lang w:val="fr-FR"/>
              </w:rPr>
              <w:t>é</w:t>
            </w:r>
            <w:r w:rsidRPr="00F93CFE">
              <w:rPr>
                <w:rFonts w:ascii="Calibri"/>
                <w:b/>
                <w:u w:val="single"/>
                <w:lang w:val="fr-FR"/>
              </w:rPr>
              <w:t>:</w:t>
            </w:r>
            <w:proofErr w:type="gramEnd"/>
          </w:p>
          <w:p w:rsidR="00EB43FC" w:rsidRPr="00F93CFE" w:rsidRDefault="00801C4D">
            <w:pPr>
              <w:pStyle w:val="TableParagraph"/>
              <w:tabs>
                <w:tab w:val="left" w:pos="5453"/>
              </w:tabs>
              <w:spacing w:before="1" w:line="267" w:lineRule="exact"/>
              <w:ind w:left="535"/>
              <w:rPr>
                <w:rFonts w:ascii="Calibri"/>
                <w:b/>
                <w:lang w:val="fr-FR"/>
              </w:rPr>
            </w:pPr>
            <w:r w:rsidRPr="00F93CFE">
              <w:rPr>
                <w:rFonts w:ascii="Calibri"/>
                <w:b/>
                <w:lang w:val="fr-FR"/>
              </w:rPr>
              <w:t xml:space="preserve">Bonne pratique </w:t>
            </w:r>
            <w:r w:rsidR="00087CA1" w:rsidRPr="00F93CFE">
              <w:rPr>
                <w:rFonts w:ascii="Calibri"/>
                <w:b/>
                <w:lang w:val="fr-FR"/>
              </w:rPr>
              <w:t>-</w:t>
            </w:r>
            <w:r w:rsidR="00087CA1" w:rsidRPr="00F93CFE">
              <w:rPr>
                <w:rFonts w:ascii="Calibri"/>
                <w:b/>
                <w:spacing w:val="-4"/>
                <w:lang w:val="fr-FR"/>
              </w:rPr>
              <w:t xml:space="preserve"> </w:t>
            </w:r>
            <w:r w:rsidR="00087CA1" w:rsidRPr="00F93CFE">
              <w:rPr>
                <w:rFonts w:ascii="Calibri"/>
                <w:b/>
                <w:lang w:val="fr-FR"/>
              </w:rPr>
              <w:t>G</w:t>
            </w:r>
            <w:r w:rsidRPr="00F93CFE">
              <w:rPr>
                <w:rFonts w:ascii="Calibri"/>
                <w:b/>
                <w:lang w:val="fr-FR"/>
              </w:rPr>
              <w:t>é</w:t>
            </w:r>
            <w:r w:rsidR="00087CA1" w:rsidRPr="00F93CFE">
              <w:rPr>
                <w:rFonts w:ascii="Calibri"/>
                <w:b/>
                <w:lang w:val="fr-FR"/>
              </w:rPr>
              <w:t>n</w:t>
            </w:r>
            <w:r w:rsidRPr="00F93CFE">
              <w:rPr>
                <w:rFonts w:ascii="Calibri"/>
                <w:b/>
                <w:lang w:val="fr-FR"/>
              </w:rPr>
              <w:t>é</w:t>
            </w:r>
            <w:r w:rsidR="00087CA1" w:rsidRPr="00F93CFE">
              <w:rPr>
                <w:rFonts w:ascii="Calibri"/>
                <w:b/>
                <w:lang w:val="fr-FR"/>
              </w:rPr>
              <w:t>ral</w:t>
            </w:r>
            <w:r w:rsidR="00087CA1" w:rsidRPr="00F93CFE">
              <w:rPr>
                <w:rFonts w:ascii="Calibri"/>
                <w:b/>
                <w:lang w:val="fr-FR"/>
              </w:rPr>
              <w:tab/>
            </w:r>
            <w:r w:rsidRPr="00F93CFE">
              <w:rPr>
                <w:rFonts w:ascii="Calibri"/>
                <w:b/>
                <w:lang w:val="fr-FR"/>
              </w:rPr>
              <w:t xml:space="preserve">Bonne pratique </w:t>
            </w:r>
            <w:r w:rsidR="00087CA1" w:rsidRPr="00F93CFE">
              <w:rPr>
                <w:rFonts w:ascii="Calibri"/>
                <w:b/>
                <w:lang w:val="fr-FR"/>
              </w:rPr>
              <w:t>-</w:t>
            </w:r>
            <w:r w:rsidR="00087CA1" w:rsidRPr="00F93CFE">
              <w:rPr>
                <w:rFonts w:ascii="Calibri"/>
                <w:b/>
                <w:spacing w:val="-1"/>
                <w:lang w:val="fr-FR"/>
              </w:rPr>
              <w:t xml:space="preserve"> </w:t>
            </w:r>
            <w:r w:rsidRPr="00F93CFE">
              <w:rPr>
                <w:rFonts w:ascii="Calibri"/>
                <w:b/>
                <w:lang w:val="fr-FR"/>
              </w:rPr>
              <w:t>Ventes</w:t>
            </w:r>
          </w:p>
          <w:p w:rsidR="00EB43FC" w:rsidRDefault="00801C4D" w:rsidP="00F93CFE">
            <w:pPr>
              <w:pStyle w:val="TableParagraph"/>
              <w:tabs>
                <w:tab w:val="left" w:pos="5267"/>
                <w:tab w:val="left" w:pos="8058"/>
              </w:tabs>
              <w:ind w:left="230" w:right="1993" w:firstLine="304"/>
              <w:rPr>
                <w:rFonts w:ascii="Calibri" w:hAnsi="Calibri"/>
                <w:b/>
              </w:rPr>
            </w:pPr>
            <w:r w:rsidRPr="00F93CFE">
              <w:rPr>
                <w:rFonts w:ascii="Calibri" w:hAnsi="Calibri"/>
                <w:b/>
                <w:lang w:val="fr-FR"/>
              </w:rPr>
              <w:t xml:space="preserve">Bonne pratique </w:t>
            </w:r>
            <w:r w:rsidR="00087CA1" w:rsidRPr="00F93CFE">
              <w:rPr>
                <w:rFonts w:ascii="Calibri" w:hAnsi="Calibri"/>
                <w:b/>
                <w:lang w:val="fr-FR"/>
              </w:rPr>
              <w:t>-</w:t>
            </w:r>
            <w:r w:rsidR="00087CA1" w:rsidRPr="00F93CFE">
              <w:rPr>
                <w:rFonts w:ascii="Calibri" w:hAnsi="Calibri"/>
                <w:b/>
                <w:spacing w:val="-5"/>
                <w:lang w:val="fr-FR"/>
              </w:rPr>
              <w:t xml:space="preserve"> </w:t>
            </w:r>
            <w:r w:rsidR="00087CA1" w:rsidRPr="00F93CFE">
              <w:rPr>
                <w:rFonts w:ascii="Calibri" w:hAnsi="Calibri"/>
                <w:b/>
                <w:lang w:val="fr-FR"/>
              </w:rPr>
              <w:t>Collect</w:t>
            </w:r>
            <w:r w:rsidRPr="00F93CFE">
              <w:rPr>
                <w:rFonts w:ascii="Calibri" w:hAnsi="Calibri"/>
                <w:b/>
                <w:lang w:val="fr-FR"/>
              </w:rPr>
              <w:t>e</w:t>
            </w:r>
            <w:r w:rsidR="00087CA1" w:rsidRPr="00F93CFE">
              <w:rPr>
                <w:rFonts w:ascii="Calibri" w:hAnsi="Calibri"/>
                <w:b/>
                <w:lang w:val="fr-FR"/>
              </w:rPr>
              <w:tab/>
            </w:r>
            <w:r w:rsidRPr="00F93CFE">
              <w:rPr>
                <w:rFonts w:ascii="Calibri" w:hAnsi="Calibri"/>
                <w:b/>
                <w:lang w:val="fr-FR"/>
              </w:rPr>
              <w:t xml:space="preserve">Bonne pratique </w:t>
            </w:r>
            <w:r w:rsidR="00F93CFE">
              <w:rPr>
                <w:rFonts w:ascii="Calibri" w:hAnsi="Calibri"/>
                <w:b/>
                <w:lang w:val="fr-FR"/>
              </w:rPr>
              <w:t>–</w:t>
            </w:r>
            <w:r w:rsidR="00087CA1" w:rsidRPr="00F93CFE">
              <w:rPr>
                <w:rFonts w:ascii="Calibri" w:hAnsi="Calibri"/>
                <w:b/>
                <w:spacing w:val="-5"/>
                <w:lang w:val="fr-FR"/>
              </w:rPr>
              <w:t xml:space="preserve"> </w:t>
            </w:r>
            <w:proofErr w:type="spellStart"/>
            <w:r w:rsidR="00087CA1" w:rsidRPr="00F93CFE">
              <w:rPr>
                <w:rFonts w:ascii="Calibri" w:hAnsi="Calibri"/>
                <w:b/>
                <w:lang w:val="fr-FR"/>
              </w:rPr>
              <w:t>Sensi</w:t>
            </w:r>
            <w:r w:rsidRPr="00F93CFE">
              <w:rPr>
                <w:rFonts w:ascii="Calibri" w:hAnsi="Calibri"/>
                <w:b/>
                <w:lang w:val="fr-FR"/>
              </w:rPr>
              <w:t>bilisa</w:t>
            </w:r>
            <w:r w:rsidR="00F93CFE">
              <w:rPr>
                <w:rFonts w:ascii="Calibri" w:hAnsi="Calibri"/>
                <w:b/>
                <w:lang w:val="fr-FR"/>
              </w:rPr>
              <w:t>t</w:t>
            </w:r>
            <w:proofErr w:type="spellEnd"/>
            <w:r w:rsidR="00F93CFE">
              <w:rPr>
                <w:rFonts w:ascii="Calibri" w:hAnsi="Calibri"/>
                <w:b/>
                <w:lang w:val="fr-FR"/>
              </w:rPr>
              <w:t>°</w:t>
            </w:r>
            <w:r w:rsidR="00087CA1" w:rsidRPr="00F93CFE">
              <w:rPr>
                <w:rFonts w:ascii="Calibri" w:hAnsi="Calibri"/>
                <w:b/>
                <w:lang w:val="fr-FR"/>
              </w:rPr>
              <w:t xml:space="preserve"> </w:t>
            </w:r>
            <w:r w:rsidR="00087CA1" w:rsidRPr="00F93CFE">
              <w:rPr>
                <w:rFonts w:ascii="Calibri" w:hAnsi="Calibri"/>
                <w:b/>
                <w:noProof/>
                <w:position w:val="-3"/>
                <w:lang w:val="fr-FR"/>
              </w:rPr>
              <w:drawing>
                <wp:inline distT="0" distB="0" distL="0" distR="0">
                  <wp:extent cx="150875" cy="150876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7CA1" w:rsidRPr="00F93CFE">
              <w:rPr>
                <w:spacing w:val="12"/>
                <w:lang w:val="fr-FR"/>
              </w:rPr>
              <w:t xml:space="preserve"> </w:t>
            </w:r>
            <w:r w:rsidRPr="00F93CFE">
              <w:rPr>
                <w:rFonts w:ascii="Calibri" w:hAnsi="Calibri"/>
                <w:b/>
                <w:lang w:val="fr-FR"/>
              </w:rPr>
              <w:t xml:space="preserve">Bonne pratique </w:t>
            </w:r>
            <w:r w:rsidR="00087CA1" w:rsidRPr="00F93CFE">
              <w:rPr>
                <w:rFonts w:ascii="Calibri" w:hAnsi="Calibri"/>
                <w:b/>
                <w:lang w:val="fr-FR"/>
              </w:rPr>
              <w:t>–</w:t>
            </w:r>
            <w:r w:rsidR="00087CA1" w:rsidRPr="00F93CFE">
              <w:rPr>
                <w:rFonts w:ascii="Calibri" w:hAnsi="Calibri"/>
                <w:b/>
                <w:spacing w:val="-1"/>
                <w:lang w:val="fr-FR"/>
              </w:rPr>
              <w:t xml:space="preserve"> </w:t>
            </w:r>
            <w:r w:rsidR="00087CA1" w:rsidRPr="00F93CFE">
              <w:rPr>
                <w:rFonts w:ascii="Calibri" w:hAnsi="Calibri"/>
                <w:b/>
                <w:lang w:val="fr-FR"/>
              </w:rPr>
              <w:t>Valori</w:t>
            </w:r>
            <w:r w:rsidRPr="00F93CFE">
              <w:rPr>
                <w:rFonts w:ascii="Calibri" w:hAnsi="Calibri"/>
                <w:b/>
                <w:lang w:val="fr-FR"/>
              </w:rPr>
              <w:t>s</w:t>
            </w:r>
            <w:r w:rsidR="00087CA1" w:rsidRPr="00F93CFE">
              <w:rPr>
                <w:rFonts w:ascii="Calibri" w:hAnsi="Calibri"/>
                <w:b/>
                <w:lang w:val="fr-FR"/>
              </w:rPr>
              <w:t>ation</w:t>
            </w:r>
          </w:p>
        </w:tc>
      </w:tr>
      <w:tr w:rsidR="00EB43FC">
        <w:trPr>
          <w:trHeight w:val="3856"/>
        </w:trPr>
        <w:tc>
          <w:tcPr>
            <w:tcW w:w="10066" w:type="dxa"/>
            <w:gridSpan w:val="2"/>
          </w:tcPr>
          <w:p w:rsidR="00EB43FC" w:rsidRPr="00F93CFE" w:rsidRDefault="00F93CFE">
            <w:pPr>
              <w:pStyle w:val="TableParagraph"/>
              <w:spacing w:line="265" w:lineRule="exact"/>
              <w:ind w:left="107"/>
              <w:rPr>
                <w:rFonts w:ascii="Calibri"/>
                <w:b/>
                <w:lang w:val="fr-FR"/>
              </w:rPr>
            </w:pPr>
            <w:r w:rsidRPr="00F93CFE">
              <w:rPr>
                <w:rFonts w:ascii="Calibri"/>
                <w:b/>
                <w:u w:val="single"/>
                <w:lang w:val="fr-FR"/>
              </w:rPr>
              <w:t xml:space="preserve">Contexte de mise en </w:t>
            </w:r>
            <w:r w:rsidRPr="00F93CFE">
              <w:rPr>
                <w:rFonts w:ascii="Calibri"/>
                <w:b/>
                <w:u w:val="single"/>
                <w:lang w:val="fr-FR"/>
              </w:rPr>
              <w:t>œ</w:t>
            </w:r>
            <w:r w:rsidRPr="00F93CFE">
              <w:rPr>
                <w:rFonts w:ascii="Calibri"/>
                <w:b/>
                <w:u w:val="single"/>
                <w:lang w:val="fr-FR"/>
              </w:rPr>
              <w:t>uvre (territoire, point de d</w:t>
            </w:r>
            <w:r w:rsidRPr="00F93CFE">
              <w:rPr>
                <w:rFonts w:ascii="Calibri"/>
                <w:b/>
                <w:u w:val="single"/>
                <w:lang w:val="fr-FR"/>
              </w:rPr>
              <w:t>é</w:t>
            </w:r>
            <w:r w:rsidRPr="00F93CFE">
              <w:rPr>
                <w:rFonts w:ascii="Calibri"/>
                <w:b/>
                <w:u w:val="single"/>
                <w:lang w:val="fr-FR"/>
              </w:rPr>
              <w:t xml:space="preserve">part, </w:t>
            </w:r>
            <w:r w:rsidR="00087CA1" w:rsidRPr="00F93CFE">
              <w:rPr>
                <w:rFonts w:ascii="Calibri"/>
                <w:b/>
                <w:u w:val="single"/>
                <w:lang w:val="fr-FR"/>
              </w:rPr>
              <w:t>...)</w:t>
            </w:r>
          </w:p>
          <w:p w:rsidR="00EB43FC" w:rsidRDefault="00EB43FC">
            <w:pPr>
              <w:pStyle w:val="TableParagraph"/>
              <w:spacing w:before="11"/>
            </w:pPr>
          </w:p>
          <w:p w:rsidR="00F93CFE" w:rsidRPr="00F93CFE" w:rsidRDefault="00F93CFE" w:rsidP="00F93CFE">
            <w:pPr>
              <w:pStyle w:val="TableParagraph"/>
              <w:ind w:left="216" w:right="661"/>
              <w:jc w:val="both"/>
              <w:rPr>
                <w:sz w:val="24"/>
              </w:rPr>
            </w:pPr>
            <w:r w:rsidRPr="00F93CFE">
              <w:rPr>
                <w:sz w:val="24"/>
                <w:lang w:val="fr-FR"/>
              </w:rPr>
              <w:t xml:space="preserve">Waste </w:t>
            </w:r>
            <w:proofErr w:type="spellStart"/>
            <w:r w:rsidRPr="00F93CFE">
              <w:rPr>
                <w:sz w:val="24"/>
                <w:lang w:val="fr-FR"/>
              </w:rPr>
              <w:t>Recycling</w:t>
            </w:r>
            <w:proofErr w:type="spellEnd"/>
            <w:r w:rsidRPr="00F93CFE">
              <w:rPr>
                <w:sz w:val="24"/>
                <w:lang w:val="fr-FR"/>
              </w:rPr>
              <w:t xml:space="preserve"> </w:t>
            </w:r>
            <w:proofErr w:type="spellStart"/>
            <w:r w:rsidRPr="00F93CFE">
              <w:rPr>
                <w:sz w:val="24"/>
                <w:lang w:val="fr-FR"/>
              </w:rPr>
              <w:t>SpA</w:t>
            </w:r>
            <w:proofErr w:type="spellEnd"/>
            <w:r w:rsidRPr="00F93CFE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>travaille</w:t>
            </w:r>
            <w:r w:rsidRPr="00F93CFE">
              <w:rPr>
                <w:sz w:val="24"/>
                <w:lang w:val="fr-FR"/>
              </w:rPr>
              <w:t xml:space="preserve"> dans le domaine de l'élimination et du traitement des déchets industriels et en plus de 20 ans d'activité a structuré une organisation capable de répondre à tout problème concernant tout type de déchets. Bénéficiant de techniciens professionnels de haut niveau, de systèmes et d'équipements à la pointe de la technologie, en plus de la disponibilité de ses propres laboratoires chimiques </w:t>
            </w:r>
            <w:r>
              <w:rPr>
                <w:sz w:val="24"/>
                <w:lang w:val="fr-FR"/>
              </w:rPr>
              <w:t>supervisés</w:t>
            </w:r>
            <w:r w:rsidRPr="00F93CFE">
              <w:rPr>
                <w:sz w:val="24"/>
                <w:lang w:val="fr-FR"/>
              </w:rPr>
              <w:t xml:space="preserve"> par des instituts universitaires, elle est en mesure de </w:t>
            </w:r>
            <w:r>
              <w:rPr>
                <w:sz w:val="24"/>
                <w:lang w:val="fr-FR"/>
              </w:rPr>
              <w:t>proposer</w:t>
            </w:r>
            <w:r w:rsidRPr="00F93CFE">
              <w:rPr>
                <w:sz w:val="24"/>
                <w:lang w:val="fr-FR"/>
              </w:rPr>
              <w:t xml:space="preserve"> les solutions les plus appropriées pour l'élimination des divers résidus produits par chaque type d'activité</w:t>
            </w:r>
            <w:r>
              <w:rPr>
                <w:sz w:val="24"/>
              </w:rPr>
              <w:t>.</w:t>
            </w:r>
          </w:p>
          <w:p w:rsidR="00EB43FC" w:rsidRPr="00F93CFE" w:rsidRDefault="00EB43FC">
            <w:pPr>
              <w:pStyle w:val="TableParagraph"/>
              <w:spacing w:before="5"/>
              <w:rPr>
                <w:sz w:val="24"/>
                <w:lang w:val="fr-FR"/>
              </w:rPr>
            </w:pPr>
          </w:p>
          <w:p w:rsidR="00EB43FC" w:rsidRDefault="00F93CFE">
            <w:pPr>
              <w:pStyle w:val="TableParagraph"/>
              <w:ind w:left="216" w:right="666"/>
              <w:jc w:val="both"/>
              <w:rPr>
                <w:sz w:val="24"/>
              </w:rPr>
            </w:pPr>
            <w:r w:rsidRPr="00F93CFE">
              <w:rPr>
                <w:sz w:val="24"/>
                <w:lang w:val="fr-FR"/>
              </w:rPr>
              <w:t xml:space="preserve">Le </w:t>
            </w:r>
            <w:r w:rsidRPr="00F93CFE">
              <w:rPr>
                <w:b/>
                <w:sz w:val="24"/>
                <w:lang w:val="fr-FR"/>
              </w:rPr>
              <w:t>projet SCART</w:t>
            </w:r>
            <w:r w:rsidRPr="00F93CFE">
              <w:rPr>
                <w:sz w:val="24"/>
                <w:lang w:val="fr-FR"/>
              </w:rPr>
              <w:t xml:space="preserve"> est né il y a plus de 18 ans pour transformer la mission de Recyclage des Déchets, qui prend soin de ses usines de </w:t>
            </w:r>
            <w:r>
              <w:rPr>
                <w:sz w:val="24"/>
                <w:lang w:val="fr-FR"/>
              </w:rPr>
              <w:t>ramassage</w:t>
            </w:r>
            <w:r w:rsidRPr="00F93CFE">
              <w:rPr>
                <w:sz w:val="24"/>
                <w:lang w:val="fr-FR"/>
              </w:rPr>
              <w:t xml:space="preserve">, de traitement, d'envoi au recyclage et d'élimination des déchets industriels, </w:t>
            </w:r>
            <w:r w:rsidRPr="00F93CFE">
              <w:rPr>
                <w:sz w:val="24"/>
                <w:u w:val="single"/>
                <w:lang w:val="fr-FR"/>
              </w:rPr>
              <w:t>en un projet concret capable d'affecter positivement la mentalité de récupération et réutilisation</w:t>
            </w:r>
            <w:r w:rsidR="00087CA1" w:rsidRPr="00F93CFE">
              <w:rPr>
                <w:sz w:val="24"/>
                <w:lang w:val="fr-FR"/>
              </w:rPr>
              <w:t>.</w:t>
            </w:r>
          </w:p>
        </w:tc>
      </w:tr>
      <w:tr w:rsidR="00EB43FC">
        <w:trPr>
          <w:trHeight w:val="4613"/>
        </w:trPr>
        <w:tc>
          <w:tcPr>
            <w:tcW w:w="10066" w:type="dxa"/>
            <w:gridSpan w:val="2"/>
          </w:tcPr>
          <w:p w:rsidR="00EB43FC" w:rsidRPr="00295FD4" w:rsidRDefault="00F93CFE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fr-FR"/>
              </w:rPr>
            </w:pPr>
            <w:r w:rsidRPr="00295FD4">
              <w:rPr>
                <w:rFonts w:ascii="Calibri"/>
                <w:b/>
                <w:u w:val="single"/>
                <w:lang w:val="fr-FR"/>
              </w:rPr>
              <w:t>Pratique, m</w:t>
            </w:r>
            <w:r w:rsidRPr="00295FD4">
              <w:rPr>
                <w:rFonts w:ascii="Calibri"/>
                <w:b/>
                <w:u w:val="single"/>
                <w:lang w:val="fr-FR"/>
              </w:rPr>
              <w:t>é</w:t>
            </w:r>
            <w:r w:rsidRPr="00295FD4">
              <w:rPr>
                <w:rFonts w:ascii="Calibri"/>
                <w:b/>
                <w:u w:val="single"/>
                <w:lang w:val="fr-FR"/>
              </w:rPr>
              <w:t>thode d'intervention et objectifs de l'approche</w:t>
            </w:r>
          </w:p>
          <w:p w:rsidR="00EB43FC" w:rsidRDefault="00EB43FC">
            <w:pPr>
              <w:pStyle w:val="TableParagraph"/>
              <w:spacing w:before="9"/>
              <w:rPr>
                <w:sz w:val="24"/>
              </w:rPr>
            </w:pPr>
          </w:p>
          <w:p w:rsidR="00295FD4" w:rsidRPr="00295FD4" w:rsidRDefault="00295FD4" w:rsidP="00295FD4">
            <w:pPr>
              <w:pStyle w:val="TableParagraph"/>
              <w:ind w:left="216" w:right="216"/>
              <w:jc w:val="both"/>
              <w:rPr>
                <w:sz w:val="24"/>
                <w:lang w:val="fr-FR"/>
              </w:rPr>
            </w:pPr>
            <w:r w:rsidRPr="00295FD4">
              <w:rPr>
                <w:sz w:val="24"/>
                <w:lang w:val="fr-FR"/>
              </w:rPr>
              <w:t>SCART est un projet écologique et original qui naît de la sensibilité, de la passion et du désir de donner une nouvelle vie à ces matériaux qui deviennent des déchets chaque jour. Le projet est basé sur la création et la réalisation d'œuvres, d'installations artistiques, d'objets et de composants d'ameublement constitués à 100% de déchets. SCART est maintenant une marque déposée en Italie et en Europe, combinant le mot "</w:t>
            </w:r>
            <w:proofErr w:type="spellStart"/>
            <w:r w:rsidRPr="00295FD4">
              <w:rPr>
                <w:sz w:val="24"/>
                <w:lang w:val="fr-FR"/>
              </w:rPr>
              <w:t>scarto</w:t>
            </w:r>
            <w:proofErr w:type="spellEnd"/>
            <w:r w:rsidRPr="00295FD4">
              <w:rPr>
                <w:sz w:val="24"/>
                <w:lang w:val="fr-FR"/>
              </w:rPr>
              <w:t>" ("déchets" en anglais) avec le mot "art". Avec SCART, d'innombrables œuvres, expositions, événements et catalogues à grand succès ont été réalisés, qui ont acquis une renommée nationale et internationale</w:t>
            </w:r>
          </w:p>
          <w:p w:rsidR="00295FD4" w:rsidRPr="00295FD4" w:rsidRDefault="00295FD4" w:rsidP="00295FD4">
            <w:pPr>
              <w:pStyle w:val="TableParagraph"/>
              <w:ind w:left="216" w:right="216"/>
              <w:jc w:val="both"/>
              <w:rPr>
                <w:sz w:val="24"/>
              </w:rPr>
            </w:pPr>
          </w:p>
          <w:p w:rsidR="00EB43FC" w:rsidRDefault="00EB43FC">
            <w:pPr>
              <w:pStyle w:val="TableParagraph"/>
              <w:spacing w:before="6"/>
              <w:rPr>
                <w:sz w:val="24"/>
              </w:rPr>
            </w:pPr>
          </w:p>
          <w:p w:rsidR="00EB43FC" w:rsidRDefault="00295FD4">
            <w:pPr>
              <w:pStyle w:val="TableParagraph"/>
              <w:ind w:left="216" w:right="217"/>
              <w:jc w:val="both"/>
              <w:rPr>
                <w:sz w:val="24"/>
              </w:rPr>
            </w:pPr>
            <w:r w:rsidRPr="00295FD4">
              <w:rPr>
                <w:sz w:val="24"/>
                <w:lang w:val="fr-FR"/>
              </w:rPr>
              <w:t xml:space="preserve">Le Laboratoire mis en place par Waste </w:t>
            </w:r>
            <w:proofErr w:type="spellStart"/>
            <w:r w:rsidRPr="00295FD4">
              <w:rPr>
                <w:sz w:val="24"/>
                <w:lang w:val="fr-FR"/>
              </w:rPr>
              <w:t>Recycling</w:t>
            </w:r>
            <w:proofErr w:type="spellEnd"/>
            <w:r w:rsidRPr="00295FD4">
              <w:rPr>
                <w:sz w:val="24"/>
                <w:lang w:val="fr-FR"/>
              </w:rPr>
              <w:t xml:space="preserve"> est le lieu où se tiennent périodiquement des cours, des ateliers et d'autres initiatives. Le laboratoire à impact zéro est une initiative née de la synergie entre Waste </w:t>
            </w:r>
            <w:proofErr w:type="spellStart"/>
            <w:r w:rsidRPr="00295FD4">
              <w:rPr>
                <w:sz w:val="24"/>
                <w:lang w:val="fr-FR"/>
              </w:rPr>
              <w:t>Recycling</w:t>
            </w:r>
            <w:proofErr w:type="spellEnd"/>
            <w:r w:rsidRPr="00295FD4">
              <w:rPr>
                <w:sz w:val="24"/>
                <w:lang w:val="fr-FR"/>
              </w:rPr>
              <w:t xml:space="preserve"> (leader national dans le secteur des déchets industriels), l'Académie des Beaux-Arts de Florence (la plus ancienne au monde) et la municipalité de Santa Croce </w:t>
            </w:r>
            <w:proofErr w:type="spellStart"/>
            <w:r w:rsidRPr="00295FD4">
              <w:rPr>
                <w:sz w:val="24"/>
                <w:lang w:val="fr-FR"/>
              </w:rPr>
              <w:t>sull'Arno</w:t>
            </w:r>
            <w:proofErr w:type="spellEnd"/>
            <w:r w:rsidRPr="00295FD4">
              <w:rPr>
                <w:sz w:val="24"/>
                <w:lang w:val="fr-FR"/>
              </w:rPr>
              <w:t>. Ce triangle institutionnel inhabituel a donné lieu à une formation / expérimentation sur l'utilisation artistique des déchets industriels impliquant étudiants et professeurs de l'Académie</w:t>
            </w:r>
            <w:r w:rsidR="00087CA1">
              <w:rPr>
                <w:sz w:val="24"/>
              </w:rPr>
              <w:t>.</w:t>
            </w:r>
          </w:p>
        </w:tc>
      </w:tr>
    </w:tbl>
    <w:p w:rsidR="00EB43FC" w:rsidRDefault="00EB43FC">
      <w:pPr>
        <w:jc w:val="both"/>
        <w:rPr>
          <w:sz w:val="24"/>
        </w:rPr>
        <w:sectPr w:rsidR="00EB43FC">
          <w:headerReference w:type="default" r:id="rId10"/>
          <w:footerReference w:type="default" r:id="rId11"/>
          <w:type w:val="continuous"/>
          <w:pgSz w:w="11910" w:h="16840"/>
          <w:pgMar w:top="1920" w:right="580" w:bottom="1940" w:left="1020" w:header="708" w:footer="1757" w:gutter="0"/>
          <w:cols w:space="720"/>
        </w:sectPr>
      </w:pPr>
    </w:p>
    <w:p w:rsidR="00EB43FC" w:rsidRDefault="00EB43FC">
      <w:pPr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19"/>
      </w:tblGrid>
      <w:tr w:rsidR="00EB43FC">
        <w:trPr>
          <w:trHeight w:val="7606"/>
        </w:trPr>
        <w:tc>
          <w:tcPr>
            <w:tcW w:w="5245" w:type="dxa"/>
          </w:tcPr>
          <w:p w:rsidR="00EB43FC" w:rsidRDefault="00295FD4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 w:rsidRPr="00295FD4">
              <w:rPr>
                <w:rFonts w:ascii="Calibri"/>
                <w:b/>
                <w:sz w:val="24"/>
                <w:u w:val="single"/>
                <w:lang w:val="fr-FR"/>
              </w:rPr>
              <w:t>R</w:t>
            </w:r>
            <w:r w:rsidRPr="00295FD4">
              <w:rPr>
                <w:rFonts w:ascii="Calibri"/>
                <w:b/>
                <w:sz w:val="24"/>
                <w:u w:val="single"/>
                <w:lang w:val="fr-FR"/>
              </w:rPr>
              <w:t>é</w:t>
            </w:r>
            <w:r w:rsidRPr="00295FD4">
              <w:rPr>
                <w:rFonts w:ascii="Calibri"/>
                <w:b/>
                <w:sz w:val="24"/>
                <w:u w:val="single"/>
                <w:lang w:val="fr-FR"/>
              </w:rPr>
              <w:t>sultats</w:t>
            </w:r>
            <w:r w:rsidR="00087CA1" w:rsidRPr="00295FD4">
              <w:rPr>
                <w:rFonts w:ascii="Calibri"/>
                <w:b/>
                <w:sz w:val="24"/>
                <w:u w:val="single"/>
                <w:lang w:val="fr-FR"/>
              </w:rPr>
              <w:t xml:space="preserve"> (impacts </w:t>
            </w:r>
            <w:r w:rsidRPr="00295FD4">
              <w:rPr>
                <w:rFonts w:ascii="Calibri"/>
                <w:b/>
                <w:sz w:val="24"/>
                <w:u w:val="single"/>
                <w:lang w:val="fr-FR"/>
              </w:rPr>
              <w:t>sur le</w:t>
            </w:r>
            <w:r w:rsidR="00087CA1" w:rsidRPr="00295FD4">
              <w:rPr>
                <w:rFonts w:ascii="Calibri"/>
                <w:b/>
                <w:sz w:val="24"/>
                <w:u w:val="single"/>
                <w:lang w:val="fr-FR"/>
              </w:rPr>
              <w:t xml:space="preserve"> public, </w:t>
            </w:r>
            <w:r w:rsidRPr="00295FD4">
              <w:rPr>
                <w:rFonts w:ascii="Calibri"/>
                <w:b/>
                <w:sz w:val="24"/>
                <w:u w:val="single"/>
                <w:lang w:val="fr-FR"/>
              </w:rPr>
              <w:t>le</w:t>
            </w:r>
            <w:r w:rsidR="00087CA1" w:rsidRPr="00295FD4">
              <w:rPr>
                <w:rFonts w:ascii="Calibri"/>
                <w:b/>
                <w:sz w:val="24"/>
                <w:u w:val="single"/>
                <w:lang w:val="fr-FR"/>
              </w:rPr>
              <w:t xml:space="preserve"> territo</w:t>
            </w:r>
            <w:r w:rsidRPr="00295FD4">
              <w:rPr>
                <w:rFonts w:ascii="Calibri"/>
                <w:b/>
                <w:sz w:val="24"/>
                <w:u w:val="single"/>
                <w:lang w:val="fr-FR"/>
              </w:rPr>
              <w:t>ire</w:t>
            </w:r>
            <w:r w:rsidR="00087CA1">
              <w:rPr>
                <w:rFonts w:ascii="Calibri"/>
                <w:b/>
                <w:sz w:val="24"/>
                <w:u w:val="single"/>
              </w:rPr>
              <w:t>, ...)</w:t>
            </w:r>
          </w:p>
          <w:p w:rsidR="00EB43FC" w:rsidRDefault="00EB43FC">
            <w:pPr>
              <w:pStyle w:val="TableParagraph"/>
              <w:spacing w:before="6"/>
              <w:rPr>
                <w:sz w:val="25"/>
              </w:rPr>
            </w:pPr>
          </w:p>
          <w:p w:rsidR="00EB43FC" w:rsidRPr="00295FD4" w:rsidRDefault="00087CA1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spacing w:line="291" w:lineRule="exact"/>
              <w:rPr>
                <w:b/>
                <w:sz w:val="24"/>
                <w:lang w:val="fr-FR"/>
              </w:rPr>
            </w:pPr>
            <w:proofErr w:type="gramStart"/>
            <w:r w:rsidRPr="00295FD4">
              <w:rPr>
                <w:b/>
                <w:sz w:val="24"/>
                <w:lang w:val="fr-FR"/>
              </w:rPr>
              <w:t>protection</w:t>
            </w:r>
            <w:proofErr w:type="gramEnd"/>
            <w:r w:rsidRPr="00295FD4">
              <w:rPr>
                <w:b/>
                <w:sz w:val="24"/>
                <w:lang w:val="fr-FR"/>
              </w:rPr>
              <w:t xml:space="preserve"> </w:t>
            </w:r>
            <w:r w:rsidR="00295FD4" w:rsidRPr="00295FD4">
              <w:rPr>
                <w:b/>
                <w:sz w:val="24"/>
                <w:lang w:val="fr-FR"/>
              </w:rPr>
              <w:t>de l’environn</w:t>
            </w:r>
            <w:r w:rsidR="00295FD4">
              <w:rPr>
                <w:b/>
                <w:sz w:val="24"/>
                <w:lang w:val="fr-FR"/>
              </w:rPr>
              <w:t>e</w:t>
            </w:r>
            <w:r w:rsidR="00295FD4" w:rsidRPr="00295FD4">
              <w:rPr>
                <w:b/>
                <w:sz w:val="24"/>
                <w:lang w:val="fr-FR"/>
              </w:rPr>
              <w:t>ment</w:t>
            </w:r>
          </w:p>
          <w:p w:rsidR="00EB43FC" w:rsidRPr="00295FD4" w:rsidRDefault="00295FD4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spacing w:line="242" w:lineRule="auto"/>
              <w:ind w:right="983"/>
              <w:rPr>
                <w:b/>
                <w:sz w:val="24"/>
                <w:lang w:val="fr-FR"/>
              </w:rPr>
            </w:pPr>
            <w:proofErr w:type="gramStart"/>
            <w:r w:rsidRPr="00295FD4">
              <w:rPr>
                <w:sz w:val="24"/>
                <w:lang w:val="fr-FR"/>
              </w:rPr>
              <w:t>effet</w:t>
            </w:r>
            <w:proofErr w:type="gramEnd"/>
            <w:r w:rsidRPr="00295FD4">
              <w:rPr>
                <w:sz w:val="24"/>
                <w:lang w:val="fr-FR"/>
              </w:rPr>
              <w:t xml:space="preserve"> positif sur la volonté de  valoriser et de réutiliser</w:t>
            </w:r>
          </w:p>
          <w:p w:rsidR="00EB43FC" w:rsidRPr="00490716" w:rsidRDefault="00886DF1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ind w:right="707"/>
              <w:rPr>
                <w:sz w:val="24"/>
                <w:lang w:val="fr-FR"/>
              </w:rPr>
            </w:pPr>
            <w:proofErr w:type="gramStart"/>
            <w:r w:rsidRPr="00886DF1">
              <w:rPr>
                <w:sz w:val="24"/>
                <w:lang w:val="fr-FR"/>
              </w:rPr>
              <w:t>l</w:t>
            </w:r>
            <w:r w:rsidRPr="00490716">
              <w:rPr>
                <w:sz w:val="24"/>
                <w:lang w:val="fr-FR"/>
              </w:rPr>
              <w:t>a</w:t>
            </w:r>
            <w:proofErr w:type="gramEnd"/>
            <w:r w:rsidRPr="00490716">
              <w:rPr>
                <w:sz w:val="24"/>
                <w:lang w:val="fr-FR"/>
              </w:rPr>
              <w:t xml:space="preserve"> conception et la construction d'œuvres et d'</w:t>
            </w:r>
            <w:r w:rsidRPr="00490716">
              <w:rPr>
                <w:b/>
                <w:sz w:val="24"/>
                <w:lang w:val="fr-FR"/>
              </w:rPr>
              <w:t xml:space="preserve">installations artistiques composées à 100 % de déchets </w:t>
            </w:r>
            <w:r w:rsidRPr="00490716">
              <w:rPr>
                <w:sz w:val="24"/>
                <w:lang w:val="fr-FR"/>
              </w:rPr>
              <w:t>et donc durables non seulement d'un point de vue environnemental mais aussi économique</w:t>
            </w:r>
          </w:p>
          <w:p w:rsidR="00EB43FC" w:rsidRPr="008046F7" w:rsidRDefault="008046F7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ind w:right="828"/>
              <w:rPr>
                <w:sz w:val="24"/>
                <w:lang w:val="fr-FR"/>
              </w:rPr>
            </w:pPr>
            <w:proofErr w:type="gramStart"/>
            <w:r w:rsidRPr="008046F7">
              <w:rPr>
                <w:b/>
                <w:sz w:val="24"/>
                <w:lang w:val="fr-FR"/>
              </w:rPr>
              <w:t>formation</w:t>
            </w:r>
            <w:proofErr w:type="gramEnd"/>
            <w:r w:rsidRPr="008046F7">
              <w:rPr>
                <w:b/>
                <w:sz w:val="24"/>
                <w:lang w:val="fr-FR"/>
              </w:rPr>
              <w:t xml:space="preserve"> / expérimentation sur l'utilisation artistique des déchets industriels</w:t>
            </w:r>
            <w:r w:rsidRPr="008046F7">
              <w:rPr>
                <w:sz w:val="24"/>
                <w:lang w:val="fr-FR"/>
              </w:rPr>
              <w:t>. Des possibilités de formation importantes et uniques où l'expressivité intrinsèque des déchets stimule le génie des auteurs à produire de nouvelles formes d'art et de design. Innover dans l'enseignement universitaire, en activant un échange fécond entre différentes réalités</w:t>
            </w:r>
          </w:p>
          <w:p w:rsidR="008046F7" w:rsidRPr="008046F7" w:rsidRDefault="008046F7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ind w:right="734"/>
              <w:rPr>
                <w:b/>
                <w:sz w:val="24"/>
                <w:lang w:val="fr-FR"/>
              </w:rPr>
            </w:pPr>
            <w:proofErr w:type="gramStart"/>
            <w:r w:rsidRPr="008046F7">
              <w:rPr>
                <w:b/>
                <w:sz w:val="24"/>
                <w:lang w:val="fr-FR"/>
              </w:rPr>
              <w:t>développement</w:t>
            </w:r>
            <w:proofErr w:type="gramEnd"/>
            <w:r w:rsidRPr="008046F7">
              <w:rPr>
                <w:b/>
                <w:sz w:val="24"/>
                <w:lang w:val="fr-FR"/>
              </w:rPr>
              <w:t xml:space="preserve"> culturel</w:t>
            </w:r>
          </w:p>
          <w:p w:rsidR="00EB43FC" w:rsidRDefault="008046F7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ind w:right="734"/>
              <w:rPr>
                <w:b/>
                <w:sz w:val="24"/>
              </w:rPr>
            </w:pPr>
            <w:proofErr w:type="gramStart"/>
            <w:r w:rsidRPr="008046F7">
              <w:rPr>
                <w:sz w:val="24"/>
                <w:lang w:val="fr-FR"/>
              </w:rPr>
              <w:t>approche</w:t>
            </w:r>
            <w:proofErr w:type="gramEnd"/>
            <w:r w:rsidRPr="008046F7">
              <w:rPr>
                <w:sz w:val="24"/>
                <w:lang w:val="fr-FR"/>
              </w:rPr>
              <w:t xml:space="preserve"> de jeunes artistes en formation à la connaissance du monde des déchets industriels et </w:t>
            </w:r>
            <w:r w:rsidRPr="008046F7">
              <w:rPr>
                <w:b/>
                <w:sz w:val="24"/>
                <w:lang w:val="fr-FR"/>
              </w:rPr>
              <w:t>donc aux nouvelles possibilités d'expression et d'emploi</w:t>
            </w:r>
          </w:p>
        </w:tc>
        <w:tc>
          <w:tcPr>
            <w:tcW w:w="4819" w:type="dxa"/>
          </w:tcPr>
          <w:p w:rsidR="00EB43FC" w:rsidRDefault="00295FD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 xml:space="preserve">Public </w:t>
            </w:r>
            <w:proofErr w:type="spellStart"/>
            <w:r>
              <w:rPr>
                <w:rFonts w:ascii="Calibri"/>
                <w:b/>
                <w:sz w:val="24"/>
                <w:u w:val="single"/>
              </w:rPr>
              <w:t>cible</w:t>
            </w:r>
            <w:proofErr w:type="spellEnd"/>
            <w:r w:rsidR="00087CA1">
              <w:rPr>
                <w:rFonts w:ascii="Calibri"/>
                <w:b/>
                <w:sz w:val="24"/>
                <w:u w:val="single"/>
              </w:rPr>
              <w:t>:</w:t>
            </w:r>
          </w:p>
          <w:p w:rsidR="00EB43FC" w:rsidRDefault="00EB43FC">
            <w:pPr>
              <w:pStyle w:val="TableParagraph"/>
              <w:spacing w:before="5"/>
              <w:rPr>
                <w:sz w:val="23"/>
              </w:rPr>
            </w:pPr>
          </w:p>
          <w:p w:rsidR="00EB43FC" w:rsidRPr="00295FD4" w:rsidRDefault="00295FD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94"/>
              <w:rPr>
                <w:sz w:val="24"/>
                <w:lang w:val="fr-FR"/>
              </w:rPr>
            </w:pPr>
            <w:proofErr w:type="gramStart"/>
            <w:r w:rsidRPr="00295FD4">
              <w:rPr>
                <w:sz w:val="24"/>
                <w:lang w:val="fr-FR"/>
              </w:rPr>
              <w:t>tous</w:t>
            </w:r>
            <w:proofErr w:type="gramEnd"/>
            <w:r w:rsidRPr="00295FD4">
              <w:rPr>
                <w:sz w:val="24"/>
                <w:lang w:val="fr-FR"/>
              </w:rPr>
              <w:t xml:space="preserve"> les types d'entreprises de la région qui produisent des déchets de traitement destinés à être éliminés ou destinés à être valorisés</w:t>
            </w:r>
          </w:p>
          <w:p w:rsidR="00EB43FC" w:rsidRPr="008046F7" w:rsidRDefault="00295FD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"/>
              <w:ind w:right="147"/>
              <w:rPr>
                <w:b/>
                <w:sz w:val="24"/>
                <w:lang w:val="fr-FR"/>
              </w:rPr>
            </w:pPr>
            <w:proofErr w:type="gramStart"/>
            <w:r w:rsidRPr="008046F7">
              <w:rPr>
                <w:b/>
                <w:sz w:val="24"/>
                <w:lang w:val="fr-FR"/>
              </w:rPr>
              <w:t>étudiants</w:t>
            </w:r>
            <w:proofErr w:type="gramEnd"/>
            <w:r w:rsidRPr="008046F7">
              <w:rPr>
                <w:b/>
                <w:sz w:val="24"/>
                <w:lang w:val="fr-FR"/>
              </w:rPr>
              <w:t xml:space="preserve"> et professeurs de l'Académie des Beaux-Arts de Florence</w:t>
            </w:r>
          </w:p>
        </w:tc>
      </w:tr>
      <w:tr w:rsidR="00EB43FC">
        <w:trPr>
          <w:trHeight w:val="880"/>
        </w:trPr>
        <w:tc>
          <w:tcPr>
            <w:tcW w:w="10064" w:type="dxa"/>
            <w:gridSpan w:val="2"/>
          </w:tcPr>
          <w:p w:rsidR="00EB43FC" w:rsidRPr="008046F7" w:rsidRDefault="008046F7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  <w:lang w:val="fr-FR"/>
              </w:rPr>
            </w:pPr>
            <w:r w:rsidRPr="008046F7">
              <w:rPr>
                <w:rFonts w:ascii="Calibri"/>
                <w:b/>
                <w:sz w:val="24"/>
                <w:u w:val="single"/>
                <w:lang w:val="fr-FR"/>
              </w:rPr>
              <w:t xml:space="preserve">Perspective d'utilisation et de </w:t>
            </w:r>
            <w:proofErr w:type="gramStart"/>
            <w:r w:rsidRPr="008046F7">
              <w:rPr>
                <w:rFonts w:ascii="Calibri"/>
                <w:b/>
                <w:sz w:val="24"/>
                <w:u w:val="single"/>
                <w:lang w:val="fr-FR"/>
              </w:rPr>
              <w:t>diffusion</w:t>
            </w:r>
            <w:r w:rsidR="00087CA1" w:rsidRPr="008046F7">
              <w:rPr>
                <w:rFonts w:ascii="Calibri"/>
                <w:b/>
                <w:sz w:val="24"/>
                <w:u w:val="single"/>
                <w:lang w:val="fr-FR"/>
              </w:rPr>
              <w:t>:</w:t>
            </w:r>
            <w:proofErr w:type="gramEnd"/>
          </w:p>
          <w:p w:rsidR="00EB43FC" w:rsidRPr="008046F7" w:rsidRDefault="00EB43FC">
            <w:pPr>
              <w:pStyle w:val="TableParagraph"/>
              <w:rPr>
                <w:sz w:val="25"/>
                <w:lang w:val="fr-FR"/>
              </w:rPr>
            </w:pPr>
          </w:p>
          <w:p w:rsidR="00EB43FC" w:rsidRDefault="008046F7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70"/>
              </w:tabs>
              <w:spacing w:line="279" w:lineRule="exact"/>
              <w:rPr>
                <w:sz w:val="24"/>
              </w:rPr>
            </w:pPr>
            <w:r w:rsidRPr="008046F7">
              <w:rPr>
                <w:sz w:val="24"/>
                <w:lang w:val="fr-FR"/>
              </w:rPr>
              <w:t>Transférer l'expérience à d'autres pays européens</w:t>
            </w:r>
          </w:p>
        </w:tc>
      </w:tr>
    </w:tbl>
    <w:p w:rsidR="00087CA1" w:rsidRDefault="00087CA1"/>
    <w:sectPr w:rsidR="00087CA1">
      <w:pgSz w:w="11910" w:h="16840"/>
      <w:pgMar w:top="1920" w:right="580" w:bottom="1940" w:left="1020" w:header="708" w:footer="1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65" w:rsidRDefault="00FF6565">
      <w:r>
        <w:separator/>
      </w:r>
    </w:p>
  </w:endnote>
  <w:endnote w:type="continuationSeparator" w:id="0">
    <w:p w:rsidR="00FF6565" w:rsidRDefault="00FF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FC" w:rsidRDefault="00087CA1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095" behindDoc="1" locked="0" layoutInCell="1" allowOverlap="1">
          <wp:simplePos x="0" y="0"/>
          <wp:positionH relativeFrom="page">
            <wp:posOffset>2280539</wp:posOffset>
          </wp:positionH>
          <wp:positionV relativeFrom="page">
            <wp:posOffset>9838054</wp:posOffset>
          </wp:positionV>
          <wp:extent cx="1048524" cy="40449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524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119" behindDoc="1" locked="0" layoutInCell="1" allowOverlap="1">
          <wp:simplePos x="0" y="0"/>
          <wp:positionH relativeFrom="page">
            <wp:posOffset>4701921</wp:posOffset>
          </wp:positionH>
          <wp:positionV relativeFrom="page">
            <wp:posOffset>9872979</wp:posOffset>
          </wp:positionV>
          <wp:extent cx="796716" cy="369570"/>
          <wp:effectExtent l="0" t="0" r="0" b="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6716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143" behindDoc="1" locked="0" layoutInCell="1" allowOverlap="1">
          <wp:simplePos x="0" y="0"/>
          <wp:positionH relativeFrom="page">
            <wp:posOffset>3361182</wp:posOffset>
          </wp:positionH>
          <wp:positionV relativeFrom="page">
            <wp:posOffset>9798050</wp:posOffset>
          </wp:positionV>
          <wp:extent cx="467995" cy="444195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7995" cy="4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167" behindDoc="1" locked="0" layoutInCell="1" allowOverlap="1">
          <wp:simplePos x="0" y="0"/>
          <wp:positionH relativeFrom="page">
            <wp:posOffset>1544192</wp:posOffset>
          </wp:positionH>
          <wp:positionV relativeFrom="page">
            <wp:posOffset>9804400</wp:posOffset>
          </wp:positionV>
          <wp:extent cx="702754" cy="433070"/>
          <wp:effectExtent l="0" t="0" r="0" b="0"/>
          <wp:wrapNone/>
          <wp:docPr id="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02754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191" behindDoc="1" locked="0" layoutInCell="1" allowOverlap="1">
          <wp:simplePos x="0" y="0"/>
          <wp:positionH relativeFrom="page">
            <wp:posOffset>910089</wp:posOffset>
          </wp:positionH>
          <wp:positionV relativeFrom="page">
            <wp:posOffset>9449803</wp:posOffset>
          </wp:positionV>
          <wp:extent cx="586796" cy="784491"/>
          <wp:effectExtent l="0" t="0" r="0" b="0"/>
          <wp:wrapNone/>
          <wp:docPr id="9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6796" cy="784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215" behindDoc="1" locked="0" layoutInCell="1" allowOverlap="1">
          <wp:simplePos x="0" y="0"/>
          <wp:positionH relativeFrom="page">
            <wp:posOffset>3869054</wp:posOffset>
          </wp:positionH>
          <wp:positionV relativeFrom="page">
            <wp:posOffset>9839325</wp:posOffset>
          </wp:positionV>
          <wp:extent cx="793065" cy="394761"/>
          <wp:effectExtent l="0" t="0" r="0" b="0"/>
          <wp:wrapNone/>
          <wp:docPr id="11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93065" cy="394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239" behindDoc="1" locked="0" layoutInCell="1" allowOverlap="1">
          <wp:simplePos x="0" y="0"/>
          <wp:positionH relativeFrom="page">
            <wp:posOffset>5624008</wp:posOffset>
          </wp:positionH>
          <wp:positionV relativeFrom="page">
            <wp:posOffset>9915773</wp:posOffset>
          </wp:positionV>
          <wp:extent cx="906175" cy="210956"/>
          <wp:effectExtent l="0" t="0" r="0" b="0"/>
          <wp:wrapNone/>
          <wp:docPr id="13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0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06175" cy="21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65" w:rsidRDefault="00FF6565">
      <w:r>
        <w:separator/>
      </w:r>
    </w:p>
  </w:footnote>
  <w:footnote w:type="continuationSeparator" w:id="0">
    <w:p w:rsidR="00FF6565" w:rsidRDefault="00FF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FC" w:rsidRDefault="00FF6565">
    <w:pPr>
      <w:spacing w:line="14" w:lineRule="auto"/>
      <w:rPr>
        <w:sz w:val="20"/>
      </w:rPr>
    </w:pPr>
    <w:r>
      <w:pict>
        <v:group id="_x0000_s2049" style="position:absolute;margin-left:35.75pt;margin-top:35.4pt;width:557.35pt;height:61.6pt;z-index:-251658240;mso-position-horizontal-relative:page;mso-position-vertical-relative:page" coordorigin="715,708" coordsize="11147,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417;top:708;width:2977;height:1112">
            <v:imagedata r:id="rId1" o:title=""/>
          </v:shape>
          <v:shape id="_x0000_s2053" type="#_x0000_t75" style="position:absolute;left:732;top:1754;width:11129;height:185">
            <v:imagedata r:id="rId2" o:title=""/>
          </v:shape>
          <v:shape id="_x0000_s2052" type="#_x0000_t75" style="position:absolute;left:7739;top:997;width:2611;height:735">
            <v:imagedata r:id="rId3" o:title=""/>
          </v:shape>
          <v:shape id="_x0000_s2051" style="position:absolute;left:716;top:1717;width:11120;height:180" coordorigin="716,1717" coordsize="11120,180" o:spt="100" adj="0,,0" path="m10917,1827r-8120,l3037,1827r5364,70l9521,1888r881,-23l10482,1862r435,-35xm4151,1717r-1120,9l2070,1752,716,1862r961,-26l10917,1827r484,-40l9755,1787,4391,1718r-240,-1xm11836,1752r-80,3l10875,1778r-1120,9l11401,1787r435,-35xe" fillcolor="#360" stroked="f">
            <v:stroke joinstyle="round"/>
            <v:formulas/>
            <v:path arrowok="t" o:connecttype="segments"/>
          </v:shape>
          <v:shape id="_x0000_s2050" style="position:absolute;left:716;top:1717;width:11120;height:180" coordorigin="716,1717" coordsize="11120,180" path="m2070,1752r80,-3l2230,1747r80,-3l2390,1742r80,-3l2550,1737r80,-2l2710,1733r80,-2l2871,1729r80,-1l3031,1726r80,-1l3191,1724r80,-1l3351,1722r80,-1l3511,1720r80,-1l3671,1719r80,-1l3831,1718r80,l3991,1717r80,l4151,1717r80,l4311,1718r80,l4471,1718r81,l4632,1719r80,l4792,1720r80,1l4952,1721r80,1l5112,1723r80,1l5272,1725r80,1l5432,1727r80,1l5592,1729r80,1l5752,1731r80,2l5912,1734r80,1l6072,1737r81,1l6233,1739r80,2l6393,1742r80,2l6553,1745r80,1l6713,1748r80,1l6873,1751r80,1l7033,1754r80,1l7193,1757r80,1l7353,1760r80,1l7513,1763r80,1l7673,1766r80,1l7834,1768r80,2l7994,1771r80,1l8154,1773r80,2l8314,1776r80,1l8474,1778r80,1l8634,1780r80,1l8794,1782r80,1l8954,1783r80,1l9114,1785r80,l9274,1786r80,l9435,1787r80,l9595,1787r80,l9755,1787r80,l9915,1787r80,l10075,1787r80,-1l10235,1786r80,-1l10395,1785r80,-1l10555,1783r80,-1l10715,1781r80,-1l10875,1778r80,-1l11035,1775r81,-1l11196,1772r80,-2l11356,1768r80,-2l11516,1763r80,-2l11676,1758r80,-3l11836,1752r-1354,110l10402,1865r-80,2l10242,1870r-80,2l10082,1875r-80,2l9922,1879r-80,2l9762,1883r-81,2l9601,1886r-80,2l9441,1889r-80,1l9281,1891r-80,1l9121,1893r-80,1l8961,1895r-80,l8801,1896r-80,l8641,1896r-80,1l8481,1897r-80,l8321,1897r-80,-1l8161,1896r-80,l8000,1896r-80,-1l7840,1895r-80,-1l7680,1893r-80,l7520,1892r-80,-1l7360,1890r-80,-1l7200,1888r-80,-1l7040,1886r-80,-1l6880,1884r-80,-1l6720,1881r-80,-1l6560,1879r-80,-2l6399,1876r-80,-1l6239,1873r-80,-1l6079,1870r-80,-1l5919,1868r-80,-2l5759,1865r-80,-2l5599,1862r-80,-2l5439,1859r-80,-2l5279,1856r-80,-2l5119,1853r-80,-2l4959,1850r-80,-2l4799,1847r-81,-1l4638,1844r-80,-1l4478,1842r-80,-1l4318,1839r-80,-1l4158,1837r-80,-1l3998,1835r-80,-1l3838,1833r-80,-1l3678,1831r-80,l3518,1830r-80,-1l3358,1829r-80,-1l3198,1828r-81,-1l3037,1827r-80,l2877,1827r-80,l2717,1827r-80,l2557,1827r-80,l2397,1828r-80,l2237,1829r-80,l2077,1830r-80,1l1917,1832r-80,1l1757,1834r-80,2l1597,1837r-80,2l1436,1840r-80,2l1276,1844r-80,2l1116,1848r-80,3l956,1853r-80,3l796,1859r-80,3l2070,1752xe" filled="f" strokecolor="#cf9" strokeweight=".14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4629"/>
    <w:multiLevelType w:val="hybridMultilevel"/>
    <w:tmpl w:val="8C3EBC6C"/>
    <w:lvl w:ilvl="0" w:tplc="F634DE4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152A16C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en-US"/>
      </w:rPr>
    </w:lvl>
    <w:lvl w:ilvl="2" w:tplc="4E765A8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en-US"/>
      </w:rPr>
    </w:lvl>
    <w:lvl w:ilvl="3" w:tplc="C376FDB8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en-US"/>
      </w:rPr>
    </w:lvl>
    <w:lvl w:ilvl="4" w:tplc="2F7ACFBC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en-US"/>
      </w:rPr>
    </w:lvl>
    <w:lvl w:ilvl="5" w:tplc="0BD68CA4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en-US"/>
      </w:rPr>
    </w:lvl>
    <w:lvl w:ilvl="6" w:tplc="F86C13A6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  <w:lvl w:ilvl="7" w:tplc="04520B8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8" w:tplc="696CBC2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E05534C"/>
    <w:multiLevelType w:val="hybridMultilevel"/>
    <w:tmpl w:val="9E4089C2"/>
    <w:lvl w:ilvl="0" w:tplc="58AAE480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53E1306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en-US"/>
      </w:rPr>
    </w:lvl>
    <w:lvl w:ilvl="2" w:tplc="268C384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69020F5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95D6C340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en-US"/>
      </w:rPr>
    </w:lvl>
    <w:lvl w:ilvl="5" w:tplc="EDA0CF38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en-US"/>
      </w:rPr>
    </w:lvl>
    <w:lvl w:ilvl="6" w:tplc="22DE197A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A934D2B2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en-US"/>
      </w:rPr>
    </w:lvl>
    <w:lvl w:ilvl="8" w:tplc="8094255A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B310D4"/>
    <w:multiLevelType w:val="hybridMultilevel"/>
    <w:tmpl w:val="9AB0F394"/>
    <w:lvl w:ilvl="0" w:tplc="FFEC96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E58E3F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ABE6479E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en-US"/>
      </w:rPr>
    </w:lvl>
    <w:lvl w:ilvl="3" w:tplc="E040915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en-US"/>
      </w:rPr>
    </w:lvl>
    <w:lvl w:ilvl="4" w:tplc="1AC427F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en-US"/>
      </w:rPr>
    </w:lvl>
    <w:lvl w:ilvl="5" w:tplc="398ABA2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en-US"/>
      </w:rPr>
    </w:lvl>
    <w:lvl w:ilvl="6" w:tplc="EAF68DB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  <w:lvl w:ilvl="7" w:tplc="31200124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en-US"/>
      </w:rPr>
    </w:lvl>
    <w:lvl w:ilvl="8" w:tplc="2D58F450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3FC"/>
    <w:rsid w:val="00087CA1"/>
    <w:rsid w:val="00295FD4"/>
    <w:rsid w:val="00490716"/>
    <w:rsid w:val="005751D4"/>
    <w:rsid w:val="00801C4D"/>
    <w:rsid w:val="008046F7"/>
    <w:rsid w:val="00886DF1"/>
    <w:rsid w:val="00EB43FC"/>
    <w:rsid w:val="00F93CFE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0F075D5-A5D8-4577-AAD9-436BFCCD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-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artline.it/waste-recycling/www.scartli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jerome scanavino</cp:lastModifiedBy>
  <cp:revision>3</cp:revision>
  <dcterms:created xsi:type="dcterms:W3CDTF">2018-12-07T10:27:00Z</dcterms:created>
  <dcterms:modified xsi:type="dcterms:W3CDTF">2018-12-07T13:51:00Z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2018-12-07T00:00:00Z</vt:filetime>
  </property>
</Properties>
</file>